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680" w:after="220"/>
      </w:pPr>
      <w:r>
        <w:rPr>
          <w:rFonts w:ascii="Arial" w:hAnsi="Arial"/>
          <w:b/>
          <w:color w:val="000000"/>
          <w:sz w:val="30"/>
        </w:rPr>
        <w:t>The ReConnect Programme - Off-Site External Mentoring Activities Risk Assessment</w:t>
      </w:r>
    </w:p>
    <w:p>
      <w:pPr>
        <w:tabs>
          <w:tab w:pos="2520" w:val="left"/>
        </w:tabs>
        <w:spacing w:after="20" w:line="240" w:lineRule="auto"/>
        <w:ind w:left="115"/>
      </w:pPr>
      <w:r>
        <w:rPr>
          <w:rFonts w:ascii="Arial" w:hAnsi="Arial"/>
          <w:b/>
          <w:color w:val="000000"/>
          <w:sz w:val="19"/>
        </w:rPr>
        <w:t>OWNERSHIP:</w:t>
      </w:r>
      <w:r>
        <w:rPr>
          <w:rFonts w:ascii="Arial" w:hAnsi="Arial"/>
          <w:color w:val="000000"/>
          <w:sz w:val="19"/>
        </w:rPr>
        <w:tab/>
        <w:t>The ReConnect Programme</w:t>
      </w:r>
    </w:p>
    <w:p>
      <w:pPr>
        <w:tabs>
          <w:tab w:pos="2520" w:val="left"/>
        </w:tabs>
        <w:spacing w:after="20" w:line="240" w:lineRule="auto"/>
        <w:ind w:left="115"/>
      </w:pPr>
      <w:r>
        <w:rPr>
          <w:rFonts w:ascii="Arial" w:hAnsi="Arial"/>
          <w:b/>
          <w:color w:val="000000"/>
          <w:sz w:val="19"/>
        </w:rPr>
        <w:t>ACTIVITY / SITE:</w:t>
      </w:r>
      <w:r>
        <w:rPr>
          <w:rFonts w:ascii="Arial" w:hAnsi="Arial"/>
          <w:color w:val="000000"/>
          <w:sz w:val="19"/>
        </w:rPr>
        <w:tab/>
        <w:t>Community-based mentoring, education and enrichment</w:t>
      </w:r>
    </w:p>
    <w:p>
      <w:pPr>
        <w:tabs>
          <w:tab w:pos="2520" w:val="left"/>
        </w:tabs>
        <w:spacing w:after="20" w:line="240" w:lineRule="auto"/>
        <w:ind w:left="115"/>
      </w:pPr>
      <w:r>
        <w:rPr>
          <w:rFonts w:ascii="Arial" w:hAnsi="Arial"/>
          <w:b/>
          <w:color w:val="000000"/>
          <w:sz w:val="19"/>
        </w:rPr>
        <w:t>LOCATION:</w:t>
      </w:r>
      <w:r>
        <w:rPr>
          <w:rFonts w:ascii="Arial" w:hAnsi="Arial"/>
          <w:color w:val="000000"/>
          <w:sz w:val="19"/>
        </w:rPr>
        <w:tab/>
        <w:t>Various approved off-site locations</w:t>
      </w:r>
    </w:p>
    <w:p>
      <w:pPr>
        <w:tabs>
          <w:tab w:pos="2520" w:val="left"/>
        </w:tabs>
        <w:spacing w:after="20" w:line="240" w:lineRule="auto"/>
        <w:ind w:left="115"/>
      </w:pPr>
      <w:r>
        <w:rPr>
          <w:rFonts w:ascii="Arial" w:hAnsi="Arial"/>
          <w:b/>
          <w:color w:val="000000"/>
          <w:sz w:val="19"/>
        </w:rPr>
        <w:t>ASSESSOR:</w:t>
      </w:r>
      <w:r>
        <w:rPr>
          <w:rFonts w:ascii="Arial" w:hAnsi="Arial"/>
          <w:color w:val="000000"/>
          <w:sz w:val="19"/>
        </w:rPr>
        <w:tab/>
        <w:t>Head of Provision / Visit Lead</w:t>
      </w:r>
    </w:p>
    <w:p>
      <w:pPr>
        <w:tabs>
          <w:tab w:pos="2520" w:val="left"/>
        </w:tabs>
        <w:spacing w:after="20" w:line="240" w:lineRule="auto"/>
        <w:ind w:left="115"/>
      </w:pPr>
      <w:r>
        <w:rPr>
          <w:rFonts w:ascii="Arial" w:hAnsi="Arial"/>
          <w:b/>
          <w:color w:val="000000"/>
          <w:sz w:val="19"/>
        </w:rPr>
        <w:t>DATE REVIEWED:</w:t>
      </w:r>
      <w:r>
        <w:rPr>
          <w:rFonts w:ascii="Arial" w:hAnsi="Arial"/>
          <w:color w:val="000000"/>
          <w:sz w:val="19"/>
        </w:rPr>
        <w:tab/>
        <w:t>September 2026</w:t>
      </w:r>
    </w:p>
    <w:p>
      <w:pPr>
        <w:tabs>
          <w:tab w:pos="2520" w:val="left"/>
        </w:tabs>
        <w:spacing w:after="20" w:line="240" w:lineRule="auto"/>
        <w:ind w:left="115"/>
      </w:pPr>
      <w:r>
        <w:rPr>
          <w:rFonts w:ascii="Arial" w:hAnsi="Arial"/>
          <w:b/>
          <w:color w:val="000000"/>
          <w:sz w:val="19"/>
        </w:rPr>
        <w:t>AUTHORISED BY:</w:t>
      </w:r>
      <w:r>
        <w:rPr>
          <w:rFonts w:ascii="Arial" w:hAnsi="Arial"/>
          <w:color w:val="000000"/>
          <w:sz w:val="19"/>
        </w:rPr>
        <w:tab/>
        <w:t>Chief Operating Officer</w:t>
      </w:r>
    </w:p>
    <w:p>
      <w:pPr>
        <w:tabs>
          <w:tab w:pos="2520" w:val="left"/>
        </w:tabs>
        <w:spacing w:after="20" w:line="240" w:lineRule="auto"/>
        <w:ind w:left="115"/>
      </w:pPr>
      <w:r>
        <w:rPr>
          <w:rFonts w:ascii="Arial" w:hAnsi="Arial"/>
          <w:b/>
          <w:color w:val="000000"/>
          <w:sz w:val="19"/>
        </w:rPr>
        <w:t>NEXT REVIEW:</w:t>
      </w:r>
      <w:r>
        <w:rPr>
          <w:rFonts w:ascii="Arial" w:hAnsi="Arial"/>
          <w:color w:val="000000"/>
          <w:sz w:val="19"/>
        </w:rPr>
        <w:tab/>
        <w:t>September 2027</w:t>
      </w:r>
    </w:p>
    <w:p>
      <w:pPr>
        <w:spacing w:after="280"/>
        <w:pBdr>
          <w:bottom w:val="single" w:sz="8" w:space="1" w:color="000000"/>
        </w:pBdr>
      </w:pPr>
    </w:p>
    <w:p>
      <w:pPr>
        <w:pStyle w:val="Heading1"/>
        <w:keepNext/>
      </w:pPr>
      <w:r>
        <w:t>Purpose and Scope</w:t>
      </w:r>
    </w:p>
    <w:p>
      <w:r>
        <w:rPr>
          <w:rFonts w:ascii="Arial" w:hAnsi="Arial"/>
          <w:color w:val="000000"/>
        </w:rPr>
        <w:t>This assessment identifies the principal hazards arising from off-site mentoring in parks, community venues, cultural settings, sports facilities and other approved public or private locations.</w:t>
      </w:r>
    </w:p>
    <w:p>
      <w:r>
        <w:rPr>
          <w:rFonts w:ascii="Arial" w:hAnsi="Arial"/>
          <w:color w:val="000000"/>
        </w:rPr>
        <w:t>It applies to one-to-one and small-group activities involving ReConnect young people, staff, mentors, volunteers and approved providers. It must be read with the Off-Site Visits Policy, individual risk assessments and venue-specific information.</w:t>
      </w:r>
    </w:p>
    <w:p>
      <w:pPr>
        <w:pStyle w:val="Heading1"/>
        <w:keepNext/>
      </w:pPr>
      <w:r>
        <w:t>Persons at Risk</w:t>
      </w:r>
    </w:p>
    <w:p>
      <w:pPr>
        <w:pStyle w:val="ListBullet"/>
        <w:keepLines/>
        <w:spacing w:after="60" w:line="264" w:lineRule="auto"/>
      </w:pPr>
      <w:r>
        <w:t>Young people</w:t>
      </w:r>
    </w:p>
    <w:p>
      <w:pPr>
        <w:pStyle w:val="ListBullet"/>
        <w:keepLines/>
        <w:spacing w:after="60" w:line="264" w:lineRule="auto"/>
      </w:pPr>
      <w:r>
        <w:t>Staff, mentors and volunteers</w:t>
      </w:r>
    </w:p>
    <w:p>
      <w:pPr>
        <w:pStyle w:val="ListBullet"/>
        <w:keepLines/>
        <w:spacing w:after="60" w:line="264" w:lineRule="auto"/>
      </w:pPr>
      <w:r>
        <w:t>Members of the public and venue staff</w:t>
      </w:r>
    </w:p>
    <w:p>
      <w:pPr>
        <w:pStyle w:val="Heading1"/>
        <w:keepNext/>
      </w:pPr>
      <w:r>
        <w:t>Risk Rating</w:t>
      </w:r>
    </w:p>
    <w:p>
      <w:r>
        <w:rPr>
          <w:rFonts w:ascii="Arial" w:hAnsi="Arial"/>
          <w:color w:val="000000"/>
        </w:rPr>
        <w:t>Residual ratings show the level of risk remaining when all controls are applied. Low: acceptable with controls maintained. Medium: activity may proceed only with active monitoring and any stated additional action. High: activity must not proceed until the risk is reduced and authorised.</w:t>
      </w:r>
    </w:p>
    <w:p>
      <w:pPr>
        <w:pStyle w:val="Heading1"/>
        <w:keepNext/>
        <w:pageBreakBefore/>
      </w:pPr>
      <w:r>
        <w:t>Risk Assessment</w:t>
      </w:r>
    </w:p>
    <w:tbl>
      <w:tblPr>
        <w:tblStyle w:val="TableGrid"/>
        <w:tblW w:type="dxa" w:w="9360"/>
        <w:jc w:val="left"/>
        <w:tblLayout w:type="fixed"/>
        <w:tblLook w:firstColumn="1" w:firstRow="1" w:lastColumn="0" w:lastRow="0" w:noHBand="0" w:noVBand="1" w:val="04A0"/>
        <w:tblInd w:w="100" w:type="dxa"/>
      </w:tblPr>
      <w:tblGrid>
        <w:gridCol w:w="2200"/>
        <w:gridCol w:w="1200"/>
        <w:gridCol w:w="4900"/>
        <w:gridCol w:w="1060"/>
      </w:tblGrid>
      <w:tr>
        <w:trPr>
          <w:tblHeader w:val="true"/>
          <w:cantSplit/>
        </w:trPr>
        <w:tc>
          <w:tcPr>
            <w:tcW w:type="dxa" w:w="2200"/>
            <w:tcMar>
              <w:top w:w="70" w:type="dxa"/>
              <w:start w:w="100" w:type="dxa"/>
              <w:bottom w:w="70" w:type="dxa"/>
              <w:end w:w="100" w:type="dxa"/>
            </w:tcMar>
            <w:vAlign w:val="top"/>
          </w:tcPr>
          <w:p>
            <w:pPr>
              <w:spacing w:after="20" w:line="240" w:lineRule="auto"/>
            </w:pPr>
            <w:r>
              <w:rPr>
                <w:rFonts w:ascii="Arial" w:hAnsi="Arial"/>
                <w:b/>
                <w:color w:val="000000"/>
                <w:sz w:val="16"/>
              </w:rPr>
              <w:t>Hazard and potential harm</w:t>
            </w:r>
          </w:p>
        </w:tc>
        <w:tc>
          <w:tcPr>
            <w:tcW w:type="dxa" w:w="1200"/>
            <w:tcMar>
              <w:top w:w="70" w:type="dxa"/>
              <w:start w:w="100" w:type="dxa"/>
              <w:bottom w:w="70" w:type="dxa"/>
              <w:end w:w="100" w:type="dxa"/>
            </w:tcMar>
            <w:vAlign w:val="top"/>
          </w:tcPr>
          <w:p>
            <w:pPr>
              <w:spacing w:after="20" w:line="240" w:lineRule="auto"/>
            </w:pPr>
            <w:r>
              <w:rPr>
                <w:rFonts w:ascii="Arial" w:hAnsi="Arial"/>
                <w:b/>
                <w:color w:val="000000"/>
                <w:sz w:val="16"/>
              </w:rPr>
              <w:t>Who may be harmed</w:t>
            </w:r>
          </w:p>
        </w:tc>
        <w:tc>
          <w:tcPr>
            <w:tcW w:type="dxa" w:w="4900"/>
            <w:tcMar>
              <w:top w:w="70" w:type="dxa"/>
              <w:start w:w="100" w:type="dxa"/>
              <w:bottom w:w="70" w:type="dxa"/>
              <w:end w:w="100" w:type="dxa"/>
            </w:tcMar>
            <w:vAlign w:val="top"/>
          </w:tcPr>
          <w:p>
            <w:pPr>
              <w:spacing w:after="20" w:line="240" w:lineRule="auto"/>
            </w:pPr>
            <w:r>
              <w:rPr>
                <w:rFonts w:ascii="Arial" w:hAnsi="Arial"/>
                <w:b/>
                <w:color w:val="000000"/>
                <w:sz w:val="16"/>
              </w:rPr>
              <w:t>Control measures and further action</w:t>
            </w:r>
          </w:p>
        </w:tc>
        <w:tc>
          <w:tcPr>
            <w:tcW w:type="dxa" w:w="1060"/>
            <w:tcMar>
              <w:top w:w="70" w:type="dxa"/>
              <w:start w:w="100" w:type="dxa"/>
              <w:bottom w:w="70" w:type="dxa"/>
              <w:end w:w="100" w:type="dxa"/>
            </w:tcMar>
            <w:vAlign w:val="top"/>
          </w:tcPr>
          <w:p>
            <w:pPr>
              <w:spacing w:after="20" w:line="240" w:lineRule="auto"/>
            </w:pPr>
            <w:r>
              <w:rPr>
                <w:rFonts w:ascii="Arial" w:hAnsi="Arial"/>
                <w:b/>
                <w:color w:val="000000"/>
                <w:sz w:val="16"/>
              </w:rPr>
              <w:t>Residual risk</w:t>
            </w:r>
          </w:p>
        </w:tc>
      </w:tr>
      <w:tr>
        <w:trPr>
          <w:cantSplit/>
        </w:trPr>
        <w:tc>
          <w:tcPr>
            <w:tcW w:type="dxa" w:w="2200"/>
            <w:tcMar>
              <w:top w:w="70" w:type="dxa"/>
              <w:start w:w="100" w:type="dxa"/>
              <w:bottom w:w="70" w:type="dxa"/>
              <w:end w:w="100" w:type="dxa"/>
            </w:tcMar>
            <w:vAlign w:val="top"/>
          </w:tcPr>
          <w:p>
            <w:pPr>
              <w:spacing w:after="20" w:line="240" w:lineRule="auto"/>
            </w:pPr>
            <w:r>
              <w:rPr>
                <w:rFonts w:ascii="Arial" w:hAnsi="Arial"/>
                <w:color w:val="000000"/>
                <w:sz w:val="16"/>
              </w:rPr>
              <w:t>Travel and roadside activity</w:t>
              <w:br/>
              <w:t>Collision, injury, separation or anxiety</w:t>
            </w:r>
          </w:p>
        </w:tc>
        <w:tc>
          <w:tcPr>
            <w:tcW w:type="dxa" w:w="1200"/>
            <w:tcMar>
              <w:top w:w="70" w:type="dxa"/>
              <w:start w:w="100" w:type="dxa"/>
              <w:bottom w:w="70" w:type="dxa"/>
              <w:end w:w="100" w:type="dxa"/>
            </w:tcMar>
            <w:vAlign w:val="top"/>
          </w:tcPr>
          <w:p>
            <w:pPr>
              <w:spacing w:after="20" w:line="240" w:lineRule="auto"/>
            </w:pPr>
            <w:r>
              <w:rPr>
                <w:rFonts w:ascii="Arial" w:hAnsi="Arial"/>
                <w:color w:val="000000"/>
                <w:sz w:val="16"/>
              </w:rPr>
              <w:t>Young people; staff; public</w:t>
            </w:r>
          </w:p>
        </w:tc>
        <w:tc>
          <w:tcPr>
            <w:tcW w:type="dxa" w:w="4900"/>
            <w:tcMar>
              <w:top w:w="70" w:type="dxa"/>
              <w:start w:w="100" w:type="dxa"/>
              <w:bottom w:w="70" w:type="dxa"/>
              <w:end w:w="100" w:type="dxa"/>
            </w:tcMar>
            <w:vAlign w:val="top"/>
          </w:tcPr>
          <w:p>
            <w:pPr>
              <w:spacing w:after="20" w:line="240" w:lineRule="auto"/>
            </w:pPr>
            <w:r>
              <w:rPr>
                <w:rFonts w:ascii="Arial" w:hAnsi="Arial"/>
                <w:color w:val="000000"/>
                <w:sz w:val="16"/>
              </w:rPr>
              <w:t>Approved drivers and suitable insured vehicles only. Driving-for-work checks completed. Seat belts or required restraints used. Route, parking, handover and public-transport risks planned. Attendance checked before departure, at transitions and return. Clear travel briefing and individual regulation support. Further action: record alternative arrangements for breakdown, delay or distress.</w:t>
            </w:r>
          </w:p>
        </w:tc>
        <w:tc>
          <w:tcPr>
            <w:tcW w:type="dxa" w:w="1060"/>
            <w:tcMar>
              <w:top w:w="70" w:type="dxa"/>
              <w:start w:w="100" w:type="dxa"/>
              <w:bottom w:w="70" w:type="dxa"/>
              <w:end w:w="100" w:type="dxa"/>
            </w:tcMar>
            <w:vAlign w:val="top"/>
          </w:tcPr>
          <w:p>
            <w:pPr>
              <w:spacing w:after="20" w:line="240" w:lineRule="auto"/>
            </w:pPr>
            <w:r>
              <w:rPr>
                <w:rFonts w:ascii="Arial" w:hAnsi="Arial"/>
                <w:color w:val="000000"/>
                <w:sz w:val="16"/>
              </w:rPr>
              <w:t>M</w:t>
            </w:r>
          </w:p>
        </w:tc>
      </w:tr>
      <w:tr>
        <w:trPr>
          <w:cantSplit/>
        </w:trPr>
        <w:tc>
          <w:tcPr>
            <w:tcW w:type="dxa" w:w="2200"/>
            <w:tcMar>
              <w:top w:w="70" w:type="dxa"/>
              <w:start w:w="100" w:type="dxa"/>
              <w:bottom w:w="70" w:type="dxa"/>
              <w:end w:w="100" w:type="dxa"/>
            </w:tcMar>
            <w:vAlign w:val="top"/>
          </w:tcPr>
          <w:p>
            <w:pPr>
              <w:spacing w:after="20" w:line="240" w:lineRule="auto"/>
            </w:pPr>
            <w:r>
              <w:rPr>
                <w:rFonts w:ascii="Arial" w:hAnsi="Arial"/>
                <w:color w:val="000000"/>
                <w:sz w:val="16"/>
              </w:rPr>
              <w:t>Separation or missing young person</w:t>
              <w:br/>
              <w:t>Exposure to traffic, exploitation or harm</w:t>
            </w:r>
          </w:p>
        </w:tc>
        <w:tc>
          <w:tcPr>
            <w:tcW w:type="dxa" w:w="1200"/>
            <w:tcMar>
              <w:top w:w="70" w:type="dxa"/>
              <w:start w:w="100" w:type="dxa"/>
              <w:bottom w:w="70" w:type="dxa"/>
              <w:end w:w="100" w:type="dxa"/>
            </w:tcMar>
            <w:vAlign w:val="top"/>
          </w:tcPr>
          <w:p>
            <w:pPr>
              <w:spacing w:after="20" w:line="240" w:lineRule="auto"/>
            </w:pPr>
            <w:r>
              <w:rPr>
                <w:rFonts w:ascii="Arial" w:hAnsi="Arial"/>
                <w:color w:val="000000"/>
                <w:sz w:val="16"/>
              </w:rPr>
              <w:t>Young people</w:t>
            </w:r>
          </w:p>
        </w:tc>
        <w:tc>
          <w:tcPr>
            <w:tcW w:type="dxa" w:w="4900"/>
            <w:tcMar>
              <w:top w:w="70" w:type="dxa"/>
              <w:start w:w="100" w:type="dxa"/>
              <w:bottom w:w="70" w:type="dxa"/>
              <w:end w:w="100" w:type="dxa"/>
            </w:tcMar>
            <w:vAlign w:val="top"/>
          </w:tcPr>
          <w:p>
            <w:pPr>
              <w:spacing w:after="20" w:line="240" w:lineRule="auto"/>
            </w:pPr>
            <w:r>
              <w:rPr>
                <w:rFonts w:ascii="Arial" w:hAnsi="Arial"/>
                <w:color w:val="000000"/>
                <w:sz w:val="16"/>
              </w:rPr>
              <w:t>Active supervision based on individual need. Agreed boundaries, meeting point and check-in arrangements. Accurate participant list and current emergency contacts carried securely. Staff know the Missing Child or Young Person Procedure. Police contacted without delay where vulnerability or circumstances require. No staff member leaves others unsupervised to search.</w:t>
            </w:r>
          </w:p>
        </w:tc>
        <w:tc>
          <w:tcPr>
            <w:tcW w:type="dxa" w:w="1060"/>
            <w:tcMar>
              <w:top w:w="70" w:type="dxa"/>
              <w:start w:w="100" w:type="dxa"/>
              <w:bottom w:w="70" w:type="dxa"/>
              <w:end w:w="100" w:type="dxa"/>
            </w:tcMar>
            <w:vAlign w:val="top"/>
          </w:tcPr>
          <w:p>
            <w:pPr>
              <w:spacing w:after="20" w:line="240" w:lineRule="auto"/>
            </w:pPr>
            <w:r>
              <w:rPr>
                <w:rFonts w:ascii="Arial" w:hAnsi="Arial"/>
                <w:color w:val="000000"/>
                <w:sz w:val="16"/>
              </w:rPr>
              <w:t>M</w:t>
            </w:r>
          </w:p>
        </w:tc>
      </w:tr>
      <w:tr>
        <w:trPr>
          <w:cantSplit/>
        </w:trPr>
        <w:tc>
          <w:tcPr>
            <w:tcW w:type="dxa" w:w="2200"/>
            <w:tcMar>
              <w:top w:w="70" w:type="dxa"/>
              <w:start w:w="100" w:type="dxa"/>
              <w:bottom w:w="70" w:type="dxa"/>
              <w:end w:w="100" w:type="dxa"/>
            </w:tcMar>
            <w:vAlign w:val="top"/>
          </w:tcPr>
          <w:p>
            <w:pPr>
              <w:spacing w:after="20" w:line="240" w:lineRule="auto"/>
            </w:pPr>
            <w:r>
              <w:rPr>
                <w:rFonts w:ascii="Arial" w:hAnsi="Arial"/>
                <w:color w:val="000000"/>
                <w:sz w:val="16"/>
              </w:rPr>
              <w:t>Slips, trips, falls and natural hazards</w:t>
              <w:br/>
              <w:t>Cuts, sprains, fractures or head injury</w:t>
            </w:r>
          </w:p>
        </w:tc>
        <w:tc>
          <w:tcPr>
            <w:tcW w:type="dxa" w:w="1200"/>
            <w:tcMar>
              <w:top w:w="70" w:type="dxa"/>
              <w:start w:w="100" w:type="dxa"/>
              <w:bottom w:w="70" w:type="dxa"/>
              <w:end w:w="100" w:type="dxa"/>
            </w:tcMar>
            <w:vAlign w:val="top"/>
          </w:tcPr>
          <w:p>
            <w:pPr>
              <w:spacing w:after="20" w:line="240" w:lineRule="auto"/>
            </w:pPr>
            <w:r>
              <w:rPr>
                <w:rFonts w:ascii="Arial" w:hAnsi="Arial"/>
                <w:color w:val="000000"/>
                <w:sz w:val="16"/>
              </w:rPr>
              <w:t>All</w:t>
            </w:r>
          </w:p>
        </w:tc>
        <w:tc>
          <w:tcPr>
            <w:tcW w:type="dxa" w:w="4900"/>
            <w:tcMar>
              <w:top w:w="70" w:type="dxa"/>
              <w:start w:w="100" w:type="dxa"/>
              <w:bottom w:w="70" w:type="dxa"/>
              <w:end w:w="100" w:type="dxa"/>
            </w:tcMar>
            <w:vAlign w:val="top"/>
          </w:tcPr>
          <w:p>
            <w:pPr>
              <w:spacing w:after="20" w:line="240" w:lineRule="auto"/>
            </w:pPr>
            <w:r>
              <w:rPr>
                <w:rFonts w:ascii="Arial" w:hAnsi="Arial"/>
                <w:color w:val="000000"/>
                <w:sz w:val="16"/>
              </w:rPr>
              <w:t>Pre-activity visual check of routes and activity areas. Avoid unsafe ground, water edges, unstable structures, animal hazards and contaminated items. Suitable clothing and footwear. Safety equipment used where required. Pace and route adapted to mobility, coordination and risk awareness. First-aid provision available.</w:t>
            </w:r>
          </w:p>
        </w:tc>
        <w:tc>
          <w:tcPr>
            <w:tcW w:type="dxa" w:w="1060"/>
            <w:tcMar>
              <w:top w:w="70" w:type="dxa"/>
              <w:start w:w="100" w:type="dxa"/>
              <w:bottom w:w="70" w:type="dxa"/>
              <w:end w:w="100" w:type="dxa"/>
            </w:tcMar>
            <w:vAlign w:val="top"/>
          </w:tcPr>
          <w:p>
            <w:pPr>
              <w:spacing w:after="20" w:line="240" w:lineRule="auto"/>
            </w:pPr>
            <w:r>
              <w:rPr>
                <w:rFonts w:ascii="Arial" w:hAnsi="Arial"/>
                <w:color w:val="000000"/>
                <w:sz w:val="16"/>
              </w:rPr>
              <w:t>L-M</w:t>
            </w:r>
          </w:p>
        </w:tc>
      </w:tr>
      <w:tr>
        <w:trPr>
          <w:cantSplit/>
        </w:trPr>
        <w:tc>
          <w:tcPr>
            <w:tcW w:type="dxa" w:w="2200"/>
            <w:tcMar>
              <w:top w:w="70" w:type="dxa"/>
              <w:start w:w="100" w:type="dxa"/>
              <w:bottom w:w="70" w:type="dxa"/>
              <w:end w:w="100" w:type="dxa"/>
            </w:tcMar>
            <w:vAlign w:val="top"/>
          </w:tcPr>
          <w:p>
            <w:pPr>
              <w:spacing w:after="20" w:line="240" w:lineRule="auto"/>
            </w:pPr>
            <w:r>
              <w:rPr>
                <w:rFonts w:ascii="Arial" w:hAnsi="Arial"/>
                <w:color w:val="000000"/>
                <w:sz w:val="16"/>
              </w:rPr>
              <w:t>Weather and environmental exposure</w:t>
              <w:br/>
              <w:t>Heat illness, dehydration, cold injury or sunburn</w:t>
            </w:r>
          </w:p>
        </w:tc>
        <w:tc>
          <w:tcPr>
            <w:tcW w:type="dxa" w:w="1200"/>
            <w:tcMar>
              <w:top w:w="70" w:type="dxa"/>
              <w:start w:w="100" w:type="dxa"/>
              <w:bottom w:w="70" w:type="dxa"/>
              <w:end w:w="100" w:type="dxa"/>
            </w:tcMar>
            <w:vAlign w:val="top"/>
          </w:tcPr>
          <w:p>
            <w:pPr>
              <w:spacing w:after="20" w:line="240" w:lineRule="auto"/>
            </w:pPr>
            <w:r>
              <w:rPr>
                <w:rFonts w:ascii="Arial" w:hAnsi="Arial"/>
                <w:color w:val="000000"/>
                <w:sz w:val="16"/>
              </w:rPr>
              <w:t>All</w:t>
            </w:r>
          </w:p>
        </w:tc>
        <w:tc>
          <w:tcPr>
            <w:tcW w:type="dxa" w:w="4900"/>
            <w:tcMar>
              <w:top w:w="70" w:type="dxa"/>
              <w:start w:w="100" w:type="dxa"/>
              <w:bottom w:w="70" w:type="dxa"/>
              <w:end w:w="100" w:type="dxa"/>
            </w:tcMar>
            <w:vAlign w:val="top"/>
          </w:tcPr>
          <w:p>
            <w:pPr>
              <w:spacing w:after="20" w:line="240" w:lineRule="auto"/>
            </w:pPr>
            <w:r>
              <w:rPr>
                <w:rFonts w:ascii="Arial" w:hAnsi="Arial"/>
                <w:color w:val="000000"/>
                <w:sz w:val="16"/>
              </w:rPr>
              <w:t>Forecast checked before departure and monitored. Suitable clothing, shade, hydration, rest and sun protection. Activity shortened, relocated or cancelled in unsafe heat, cold, storms, poor air quality or flooding. Individual medical vulnerability considered.</w:t>
            </w:r>
          </w:p>
        </w:tc>
        <w:tc>
          <w:tcPr>
            <w:tcW w:type="dxa" w:w="1060"/>
            <w:tcMar>
              <w:top w:w="70" w:type="dxa"/>
              <w:start w:w="100" w:type="dxa"/>
              <w:bottom w:w="70" w:type="dxa"/>
              <w:end w:w="100" w:type="dxa"/>
            </w:tcMar>
            <w:vAlign w:val="top"/>
          </w:tcPr>
          <w:p>
            <w:pPr>
              <w:spacing w:after="20" w:line="240" w:lineRule="auto"/>
            </w:pPr>
            <w:r>
              <w:rPr>
                <w:rFonts w:ascii="Arial" w:hAnsi="Arial"/>
                <w:color w:val="000000"/>
                <w:sz w:val="16"/>
              </w:rPr>
              <w:t>L-M</w:t>
            </w:r>
          </w:p>
        </w:tc>
      </w:tr>
      <w:tr>
        <w:trPr>
          <w:cantSplit/>
        </w:trPr>
        <w:tc>
          <w:tcPr>
            <w:tcW w:type="dxa" w:w="2200"/>
            <w:tcMar>
              <w:top w:w="70" w:type="dxa"/>
              <w:start w:w="100" w:type="dxa"/>
              <w:bottom w:w="70" w:type="dxa"/>
              <w:end w:w="100" w:type="dxa"/>
            </w:tcMar>
            <w:vAlign w:val="top"/>
          </w:tcPr>
          <w:p>
            <w:pPr>
              <w:spacing w:after="20" w:line="240" w:lineRule="auto"/>
            </w:pPr>
            <w:r>
              <w:rPr>
                <w:rFonts w:ascii="Arial" w:hAnsi="Arial"/>
                <w:color w:val="000000"/>
                <w:sz w:val="16"/>
              </w:rPr>
              <w:t>Anxiety, dysregulation or conflict</w:t>
              <w:br/>
              <w:t>Emotional harm, aggression or unsafe behaviour</w:t>
            </w:r>
          </w:p>
        </w:tc>
        <w:tc>
          <w:tcPr>
            <w:tcW w:type="dxa" w:w="1200"/>
            <w:tcMar>
              <w:top w:w="70" w:type="dxa"/>
              <w:start w:w="100" w:type="dxa"/>
              <w:bottom w:w="70" w:type="dxa"/>
              <w:end w:w="100" w:type="dxa"/>
            </w:tcMar>
            <w:vAlign w:val="top"/>
          </w:tcPr>
          <w:p>
            <w:pPr>
              <w:spacing w:after="20" w:line="240" w:lineRule="auto"/>
            </w:pPr>
            <w:r>
              <w:rPr>
                <w:rFonts w:ascii="Arial" w:hAnsi="Arial"/>
                <w:color w:val="000000"/>
                <w:sz w:val="16"/>
              </w:rPr>
              <w:t>Young people; staff; public</w:t>
            </w:r>
          </w:p>
        </w:tc>
        <w:tc>
          <w:tcPr>
            <w:tcW w:type="dxa" w:w="4900"/>
            <w:tcMar>
              <w:top w:w="70" w:type="dxa"/>
              <w:start w:w="100" w:type="dxa"/>
              <w:bottom w:w="70" w:type="dxa"/>
              <w:end w:w="100" w:type="dxa"/>
            </w:tcMar>
            <w:vAlign w:val="top"/>
          </w:tcPr>
          <w:p>
            <w:pPr>
              <w:spacing w:after="20" w:line="240" w:lineRule="auto"/>
            </w:pPr>
            <w:r>
              <w:rPr>
                <w:rFonts w:ascii="Arial" w:hAnsi="Arial"/>
                <w:color w:val="000000"/>
                <w:sz w:val="16"/>
              </w:rPr>
              <w:t>Young person prepared using accessible information and predictable plans. Trauma-informed support, familiar adult and low-arousal communication. Individual triggers, exit plan and safe regulation space identified. Group composition and staffing based on need. Activity paused or ended before behaviour becomes unsafe.</w:t>
            </w:r>
          </w:p>
        </w:tc>
        <w:tc>
          <w:tcPr>
            <w:tcW w:type="dxa" w:w="1060"/>
            <w:tcMar>
              <w:top w:w="70" w:type="dxa"/>
              <w:start w:w="100" w:type="dxa"/>
              <w:bottom w:w="70" w:type="dxa"/>
              <w:end w:w="100" w:type="dxa"/>
            </w:tcMar>
            <w:vAlign w:val="top"/>
          </w:tcPr>
          <w:p>
            <w:pPr>
              <w:spacing w:after="20" w:line="240" w:lineRule="auto"/>
            </w:pPr>
            <w:r>
              <w:rPr>
                <w:rFonts w:ascii="Arial" w:hAnsi="Arial"/>
                <w:color w:val="000000"/>
                <w:sz w:val="16"/>
              </w:rPr>
              <w:t>M</w:t>
            </w:r>
          </w:p>
        </w:tc>
      </w:tr>
      <w:tr>
        <w:trPr>
          <w:cantSplit/>
        </w:trPr>
        <w:tc>
          <w:tcPr>
            <w:tcW w:type="dxa" w:w="2200"/>
            <w:tcMar>
              <w:top w:w="70" w:type="dxa"/>
              <w:start w:w="100" w:type="dxa"/>
              <w:bottom w:w="70" w:type="dxa"/>
              <w:end w:w="100" w:type="dxa"/>
            </w:tcMar>
            <w:vAlign w:val="top"/>
          </w:tcPr>
          <w:p>
            <w:pPr>
              <w:spacing w:after="20" w:line="240" w:lineRule="auto"/>
            </w:pPr>
            <w:r>
              <w:rPr>
                <w:rFonts w:ascii="Arial" w:hAnsi="Arial"/>
                <w:color w:val="000000"/>
                <w:sz w:val="16"/>
              </w:rPr>
              <w:t>Public contact and safeguarding</w:t>
              <w:br/>
              <w:t>Exploitation, harassment, disclosure or boundary breach</w:t>
            </w:r>
          </w:p>
        </w:tc>
        <w:tc>
          <w:tcPr>
            <w:tcW w:type="dxa" w:w="1200"/>
            <w:tcMar>
              <w:top w:w="70" w:type="dxa"/>
              <w:start w:w="100" w:type="dxa"/>
              <w:bottom w:w="70" w:type="dxa"/>
              <w:end w:w="100" w:type="dxa"/>
            </w:tcMar>
            <w:vAlign w:val="top"/>
          </w:tcPr>
          <w:p>
            <w:pPr>
              <w:spacing w:after="20" w:line="240" w:lineRule="auto"/>
            </w:pPr>
            <w:r>
              <w:rPr>
                <w:rFonts w:ascii="Arial" w:hAnsi="Arial"/>
                <w:color w:val="000000"/>
                <w:sz w:val="16"/>
              </w:rPr>
              <w:t>Young people</w:t>
            </w:r>
          </w:p>
        </w:tc>
        <w:tc>
          <w:tcPr>
            <w:tcW w:type="dxa" w:w="4900"/>
            <w:tcMar>
              <w:top w:w="70" w:type="dxa"/>
              <w:start w:w="100" w:type="dxa"/>
              <w:bottom w:w="70" w:type="dxa"/>
              <w:end w:w="100" w:type="dxa"/>
            </w:tcMar>
            <w:vAlign w:val="top"/>
          </w:tcPr>
          <w:p>
            <w:pPr>
              <w:spacing w:after="20" w:line="240" w:lineRule="auto"/>
            </w:pPr>
            <w:r>
              <w:rPr>
                <w:rFonts w:ascii="Arial" w:hAnsi="Arial"/>
                <w:color w:val="000000"/>
                <w:sz w:val="16"/>
              </w:rPr>
              <w:t>Safeguarding and Staff Code of Conduct apply. Young people remain within agreed supervision. Staff use approved communications and respond to concerns immediately. Avoid identifying wristbands or information that unnecessarily discloses vulnerability. Venue safeguarding arrangements checked where relevant. DSL notified promptly.</w:t>
            </w:r>
          </w:p>
        </w:tc>
        <w:tc>
          <w:tcPr>
            <w:tcW w:type="dxa" w:w="1060"/>
            <w:tcMar>
              <w:top w:w="70" w:type="dxa"/>
              <w:start w:w="100" w:type="dxa"/>
              <w:bottom w:w="70" w:type="dxa"/>
              <w:end w:w="100" w:type="dxa"/>
            </w:tcMar>
            <w:vAlign w:val="top"/>
          </w:tcPr>
          <w:p>
            <w:pPr>
              <w:spacing w:after="20" w:line="240" w:lineRule="auto"/>
            </w:pPr>
            <w:r>
              <w:rPr>
                <w:rFonts w:ascii="Arial" w:hAnsi="Arial"/>
                <w:color w:val="000000"/>
                <w:sz w:val="16"/>
              </w:rPr>
              <w:t>M</w:t>
            </w:r>
          </w:p>
        </w:tc>
      </w:tr>
      <w:tr>
        <w:trPr>
          <w:cantSplit/>
        </w:trPr>
        <w:tc>
          <w:tcPr>
            <w:tcW w:type="dxa" w:w="2200"/>
            <w:tcMar>
              <w:top w:w="70" w:type="dxa"/>
              <w:start w:w="100" w:type="dxa"/>
              <w:bottom w:w="70" w:type="dxa"/>
              <w:end w:w="100" w:type="dxa"/>
            </w:tcMar>
            <w:vAlign w:val="top"/>
          </w:tcPr>
          <w:p>
            <w:pPr>
              <w:spacing w:after="20" w:line="240" w:lineRule="auto"/>
            </w:pPr>
            <w:r>
              <w:rPr>
                <w:rFonts w:ascii="Arial" w:hAnsi="Arial"/>
                <w:color w:val="000000"/>
                <w:sz w:val="16"/>
              </w:rPr>
              <w:t>Food, hygiene and allergies</w:t>
              <w:br/>
              <w:t>Allergic reaction or illness</w:t>
            </w:r>
          </w:p>
        </w:tc>
        <w:tc>
          <w:tcPr>
            <w:tcW w:type="dxa" w:w="1200"/>
            <w:tcMar>
              <w:top w:w="70" w:type="dxa"/>
              <w:start w:w="100" w:type="dxa"/>
              <w:bottom w:w="70" w:type="dxa"/>
              <w:end w:w="100" w:type="dxa"/>
            </w:tcMar>
            <w:vAlign w:val="top"/>
          </w:tcPr>
          <w:p>
            <w:pPr>
              <w:spacing w:after="20" w:line="240" w:lineRule="auto"/>
            </w:pPr>
            <w:r>
              <w:rPr>
                <w:rFonts w:ascii="Arial" w:hAnsi="Arial"/>
                <w:color w:val="000000"/>
                <w:sz w:val="16"/>
              </w:rPr>
              <w:t>All</w:t>
            </w:r>
          </w:p>
        </w:tc>
        <w:tc>
          <w:tcPr>
            <w:tcW w:type="dxa" w:w="4900"/>
            <w:tcMar>
              <w:top w:w="70" w:type="dxa"/>
              <w:start w:w="100" w:type="dxa"/>
              <w:bottom w:w="70" w:type="dxa"/>
              <w:end w:w="100" w:type="dxa"/>
            </w:tcMar>
            <w:vAlign w:val="top"/>
          </w:tcPr>
          <w:p>
            <w:pPr>
              <w:spacing w:after="20" w:line="240" w:lineRule="auto"/>
            </w:pPr>
            <w:r>
              <w:rPr>
                <w:rFonts w:ascii="Arial" w:hAnsi="Arial"/>
                <w:color w:val="000000"/>
                <w:sz w:val="16"/>
              </w:rPr>
              <w:t>Allergy and dietary information reviewed. Rescue medication immediately accessible to the authorised adult. Food obtained and stored safely. Handwashing or sanitising arrangements planned, especially after animals and before eating. Drinking water available. Call 999 for suspected anaphylaxis and follow the individual plan.</w:t>
            </w:r>
          </w:p>
        </w:tc>
        <w:tc>
          <w:tcPr>
            <w:tcW w:type="dxa" w:w="1060"/>
            <w:tcMar>
              <w:top w:w="70" w:type="dxa"/>
              <w:start w:w="100" w:type="dxa"/>
              <w:bottom w:w="70" w:type="dxa"/>
              <w:end w:w="100" w:type="dxa"/>
            </w:tcMar>
            <w:vAlign w:val="top"/>
          </w:tcPr>
          <w:p>
            <w:pPr>
              <w:spacing w:after="20" w:line="240" w:lineRule="auto"/>
            </w:pPr>
            <w:r>
              <w:rPr>
                <w:rFonts w:ascii="Arial" w:hAnsi="Arial"/>
                <w:color w:val="000000"/>
                <w:sz w:val="16"/>
              </w:rPr>
              <w:t>L-M</w:t>
            </w:r>
          </w:p>
        </w:tc>
      </w:tr>
      <w:tr>
        <w:trPr>
          <w:cantSplit/>
        </w:trPr>
        <w:tc>
          <w:tcPr>
            <w:tcW w:type="dxa" w:w="2200"/>
            <w:tcMar>
              <w:top w:w="70" w:type="dxa"/>
              <w:start w:w="100" w:type="dxa"/>
              <w:bottom w:w="70" w:type="dxa"/>
              <w:end w:w="100" w:type="dxa"/>
            </w:tcMar>
            <w:vAlign w:val="top"/>
          </w:tcPr>
          <w:p>
            <w:pPr>
              <w:spacing w:after="20" w:line="240" w:lineRule="auto"/>
            </w:pPr>
            <w:r>
              <w:rPr>
                <w:rFonts w:ascii="Arial" w:hAnsi="Arial"/>
                <w:color w:val="000000"/>
                <w:sz w:val="16"/>
              </w:rPr>
              <w:t>Activity or provider failure</w:t>
              <w:br/>
              <w:t>Injury from unsuitable equipment or instruction</w:t>
            </w:r>
          </w:p>
        </w:tc>
        <w:tc>
          <w:tcPr>
            <w:tcW w:type="dxa" w:w="1200"/>
            <w:tcMar>
              <w:top w:w="70" w:type="dxa"/>
              <w:start w:w="100" w:type="dxa"/>
              <w:bottom w:w="70" w:type="dxa"/>
              <w:end w:w="100" w:type="dxa"/>
            </w:tcMar>
            <w:vAlign w:val="top"/>
          </w:tcPr>
          <w:p>
            <w:pPr>
              <w:spacing w:after="20" w:line="240" w:lineRule="auto"/>
            </w:pPr>
            <w:r>
              <w:rPr>
                <w:rFonts w:ascii="Arial" w:hAnsi="Arial"/>
                <w:color w:val="000000"/>
                <w:sz w:val="16"/>
              </w:rPr>
              <w:t>All</w:t>
            </w:r>
          </w:p>
        </w:tc>
        <w:tc>
          <w:tcPr>
            <w:tcW w:type="dxa" w:w="4900"/>
            <w:tcMar>
              <w:top w:w="70" w:type="dxa"/>
              <w:start w:w="100" w:type="dxa"/>
              <w:bottom w:w="70" w:type="dxa"/>
              <w:end w:w="100" w:type="dxa"/>
            </w:tcMar>
            <w:vAlign w:val="top"/>
          </w:tcPr>
          <w:p>
            <w:pPr>
              <w:spacing w:after="20" w:line="240" w:lineRule="auto"/>
            </w:pPr>
            <w:r>
              <w:rPr>
                <w:rFonts w:ascii="Arial" w:hAnsi="Arial"/>
                <w:color w:val="000000"/>
                <w:sz w:val="16"/>
              </w:rPr>
              <w:t>Activity matched to ability and individual plan. Provider competence, insurance, safeguarding, risk controls and required licensing checked. Safety briefing followed. Equipment visually checked and used only as instructed. ReConnect Visit Lead retains responsibility for the group and stops participation if controls are inadequate.</w:t>
            </w:r>
          </w:p>
        </w:tc>
        <w:tc>
          <w:tcPr>
            <w:tcW w:type="dxa" w:w="1060"/>
            <w:tcMar>
              <w:top w:w="70" w:type="dxa"/>
              <w:start w:w="100" w:type="dxa"/>
              <w:bottom w:w="70" w:type="dxa"/>
              <w:end w:w="100" w:type="dxa"/>
            </w:tcMar>
            <w:vAlign w:val="top"/>
          </w:tcPr>
          <w:p>
            <w:pPr>
              <w:spacing w:after="20" w:line="240" w:lineRule="auto"/>
            </w:pPr>
            <w:r>
              <w:rPr>
                <w:rFonts w:ascii="Arial" w:hAnsi="Arial"/>
                <w:color w:val="000000"/>
                <w:sz w:val="16"/>
              </w:rPr>
              <w:t>M</w:t>
            </w:r>
          </w:p>
        </w:tc>
      </w:tr>
      <w:tr>
        <w:trPr>
          <w:cantSplit/>
        </w:trPr>
        <w:tc>
          <w:tcPr>
            <w:tcW w:type="dxa" w:w="2200"/>
            <w:tcMar>
              <w:top w:w="70" w:type="dxa"/>
              <w:start w:w="100" w:type="dxa"/>
              <w:bottom w:w="70" w:type="dxa"/>
              <w:end w:w="100" w:type="dxa"/>
            </w:tcMar>
            <w:vAlign w:val="top"/>
          </w:tcPr>
          <w:p>
            <w:pPr>
              <w:spacing w:after="20" w:line="240" w:lineRule="auto"/>
            </w:pPr>
            <w:r>
              <w:rPr>
                <w:rFonts w:ascii="Arial" w:hAnsi="Arial"/>
                <w:color w:val="000000"/>
                <w:sz w:val="16"/>
              </w:rPr>
              <w:t>Medical emergency</w:t>
              <w:br/>
              <w:t>Serious illness, seizure, asthma or panic response</w:t>
            </w:r>
          </w:p>
        </w:tc>
        <w:tc>
          <w:tcPr>
            <w:tcW w:type="dxa" w:w="1200"/>
            <w:tcMar>
              <w:top w:w="70" w:type="dxa"/>
              <w:start w:w="100" w:type="dxa"/>
              <w:bottom w:w="70" w:type="dxa"/>
              <w:end w:w="100" w:type="dxa"/>
            </w:tcMar>
            <w:vAlign w:val="top"/>
          </w:tcPr>
          <w:p>
            <w:pPr>
              <w:spacing w:after="20" w:line="240" w:lineRule="auto"/>
            </w:pPr>
            <w:r>
              <w:rPr>
                <w:rFonts w:ascii="Arial" w:hAnsi="Arial"/>
                <w:color w:val="000000"/>
                <w:sz w:val="16"/>
              </w:rPr>
              <w:t>Young people; staff</w:t>
            </w:r>
          </w:p>
        </w:tc>
        <w:tc>
          <w:tcPr>
            <w:tcW w:type="dxa" w:w="4900"/>
            <w:tcMar>
              <w:top w:w="70" w:type="dxa"/>
              <w:start w:w="100" w:type="dxa"/>
              <w:bottom w:w="70" w:type="dxa"/>
              <w:end w:w="100" w:type="dxa"/>
            </w:tcMar>
            <w:vAlign w:val="top"/>
          </w:tcPr>
          <w:p>
            <w:pPr>
              <w:spacing w:after="20" w:line="240" w:lineRule="auto"/>
            </w:pPr>
            <w:r>
              <w:rPr>
                <w:rFonts w:ascii="Arial" w:hAnsi="Arial"/>
                <w:color w:val="000000"/>
                <w:sz w:val="16"/>
              </w:rPr>
              <w:t>Current medical information and emergency contacts available. Medication managed under ReConnect procedure. Appropriate first-aid competence and kit provided. Mobile coverage and access for emergency services considered. Base contact knows the itinerary and participant list.</w:t>
            </w:r>
          </w:p>
        </w:tc>
        <w:tc>
          <w:tcPr>
            <w:tcW w:type="dxa" w:w="1060"/>
            <w:tcMar>
              <w:top w:w="70" w:type="dxa"/>
              <w:start w:w="100" w:type="dxa"/>
              <w:bottom w:w="70" w:type="dxa"/>
              <w:end w:w="100" w:type="dxa"/>
            </w:tcMar>
            <w:vAlign w:val="top"/>
          </w:tcPr>
          <w:p>
            <w:pPr>
              <w:spacing w:after="20" w:line="240" w:lineRule="auto"/>
            </w:pPr>
            <w:r>
              <w:rPr>
                <w:rFonts w:ascii="Arial" w:hAnsi="Arial"/>
                <w:color w:val="000000"/>
                <w:sz w:val="16"/>
              </w:rPr>
              <w:t>L-M</w:t>
            </w:r>
          </w:p>
        </w:tc>
      </w:tr>
    </w:tbl>
    <w:p>
      <w:pPr>
        <w:pStyle w:val="Heading1"/>
        <w:keepNext/>
      </w:pPr>
      <w:r>
        <w:t>Emergency and Incident Arrangements</w:t>
      </w:r>
    </w:p>
    <w:p>
      <w:pPr>
        <w:pStyle w:val="ListBullet"/>
        <w:keepLines/>
        <w:spacing w:after="60" w:line="264" w:lineRule="auto"/>
      </w:pPr>
      <w:r>
        <w:t>Protect life, stop the activity and provide first aid within competence.</w:t>
      </w:r>
    </w:p>
    <w:p>
      <w:pPr>
        <w:pStyle w:val="ListBullet"/>
        <w:keepLines/>
        <w:spacing w:after="60" w:line="264" w:lineRule="auto"/>
      </w:pPr>
      <w:r>
        <w:t>Call 999 without delay for a serious or life-threatening emergency.</w:t>
      </w:r>
    </w:p>
    <w:p>
      <w:pPr>
        <w:pStyle w:val="ListBullet"/>
        <w:keepLines/>
        <w:spacing w:after="60" w:line="264" w:lineRule="auto"/>
      </w:pPr>
      <w:r>
        <w:t>Account for all young people and maintain safe supervision.</w:t>
      </w:r>
    </w:p>
    <w:p>
      <w:pPr>
        <w:pStyle w:val="ListBullet"/>
        <w:keepLines/>
        <w:spacing w:after="60" w:line="264" w:lineRule="auto"/>
      </w:pPr>
      <w:r>
        <w:t>Notify the Head of Provision or ReConnect emergency contact as soon as practicable.</w:t>
      </w:r>
    </w:p>
    <w:p>
      <w:pPr>
        <w:pStyle w:val="ListBullet"/>
        <w:keepLines/>
        <w:spacing w:after="60" w:line="264" w:lineRule="auto"/>
      </w:pPr>
      <w:r>
        <w:t>Record accidents, incidents, near misses and safeguarding concerns under ReConnect procedures; consider RIDDOR where applicable.</w:t>
      </w:r>
    </w:p>
    <w:p>
      <w:r>
        <w:rPr>
          <w:rFonts w:ascii="Arial" w:hAnsi="Arial"/>
          <w:color w:val="000000"/>
        </w:rPr>
        <w:t>If arrangements change significantly, the Visit Lead must contact the base emergency contact and obtain further approval where practicable. Families will be informed through agreed ReConnect channels.</w:t>
      </w:r>
    </w:p>
    <w:p>
      <w:pPr>
        <w:pStyle w:val="Heading1"/>
        <w:keepNext/>
      </w:pPr>
      <w:r>
        <w:t>Dynamic Assessment, Monitoring and Review</w:t>
      </w:r>
    </w:p>
    <w:p>
      <w:r>
        <w:rPr>
          <w:rFonts w:ascii="Arial" w:hAnsi="Arial"/>
          <w:color w:val="000000"/>
        </w:rPr>
        <w:t>The lead member of staff will dynamically assess conditions, participant presentation, staffing, equipment and environmental change throughout the activity. Staff have authority to pause, modify or stop the activity immediately if controls are not effective or risk increases.</w:t>
      </w:r>
    </w:p>
    <w:p>
      <w:r>
        <w:rPr>
          <w:rFonts w:ascii="Arial" w:hAnsi="Arial"/>
          <w:color w:val="000000"/>
        </w:rPr>
        <w:t>This assessment will be reviewed at least annually and sooner following a significant incident, near miss, change in activity, equipment, venue, participant needs, staffing, law or guidance. Relevant learning will be recorded and controls updated.</w:t>
      </w:r>
    </w:p>
    <w:sectPr w:rsidR="00FC693F" w:rsidRPr="0006063C" w:rsidSect="00034616">
      <w:headerReference w:type="default" r:id="rId9"/>
      <w:footerReference w:type="default" r:id="rId10"/>
      <w:pgSz w:w="11909" w:h="16834"/>
      <w:pgMar w:top="691" w:right="576" w:bottom="691" w:left="576" w:header="288"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8"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00" w:line="240" w:lineRule="auto"/>
      <w:outlineLvl w:val="0"/>
    </w:pPr>
    <w:rPr>
      <w:rFonts w:asciiTheme="majorHAnsi" w:eastAsiaTheme="majorEastAsia" w:hAnsiTheme="majorHAnsi" w:cstheme="majorBidi" w:ascii="Arial" w:hAnsi="Arial"/>
      <w:b/>
      <w:bCs/>
      <w:color w:val="000000"/>
      <w:sz w:val="23"/>
      <w:szCs w:val="28"/>
    </w:rPr>
  </w:style>
  <w:style w:type="paragraph" w:styleId="Heading2">
    <w:name w:val="heading 2"/>
    <w:basedOn w:val="Normal"/>
    <w:next w:val="Normal"/>
    <w:link w:val="Heading2Char"/>
    <w:uiPriority w:val="9"/>
    <w:unhideWhenUsed/>
    <w:qFormat/>
    <w:rsid w:val="00FC693F"/>
    <w:pPr>
      <w:keepNext/>
      <w:keepLines/>
      <w:spacing w:before="200" w:after="60" w:line="240" w:lineRule="auto"/>
      <w:outlineLvl w:val="1"/>
    </w:pPr>
    <w:rPr>
      <w:rFonts w:asciiTheme="majorHAnsi" w:eastAsiaTheme="majorEastAsia" w:hAnsiTheme="majorHAnsi" w:cstheme="majorBidi" w:ascii="Arial" w:hAnsi="Arial"/>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color w:val="000000"/>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ReConnect Programme - Off-Site External Mentoring Activities Risk Assessment</dc:title>
  <dc:subject/>
  <dc:creator>The ReConnect Programme</dc:creator>
  <cp:keywords/>
  <dc:description>generated by python-docx</dc:description>
  <cp:lastModifiedBy/>
  <cp:revision>1</cp:revision>
  <dcterms:created xsi:type="dcterms:W3CDTF">2013-12-23T23:15:00Z</dcterms:created>
  <dcterms:modified xsi:type="dcterms:W3CDTF">2013-12-23T23:15:00Z</dcterms:modified>
  <cp:category/>
</cp:coreProperties>
</file>