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680" w:after="220"/>
      </w:pPr>
      <w:r>
        <w:rPr>
          <w:rFonts w:ascii="Arial" w:hAnsi="Arial"/>
          <w:b/>
          <w:color w:val="000000"/>
          <w:sz w:val="30"/>
        </w:rPr>
        <w:t>The ReConnect Programme - Thurston Park Site Risk Assessment</w:t>
      </w:r>
    </w:p>
    <w:p>
      <w:pPr>
        <w:tabs>
          <w:tab w:pos="2520" w:val="left"/>
        </w:tabs>
        <w:spacing w:after="20" w:line="240" w:lineRule="auto"/>
        <w:ind w:left="115"/>
      </w:pPr>
      <w:r>
        <w:rPr>
          <w:rFonts w:ascii="Arial" w:hAnsi="Arial"/>
          <w:b/>
          <w:color w:val="000000"/>
          <w:sz w:val="19"/>
        </w:rPr>
        <w:t>OWNERSHIP:</w:t>
      </w:r>
      <w:r>
        <w:rPr>
          <w:rFonts w:ascii="Arial" w:hAnsi="Arial"/>
          <w:color w:val="000000"/>
          <w:sz w:val="19"/>
        </w:rPr>
        <w:tab/>
        <w:t>The ReConnect Programme</w:t>
      </w:r>
    </w:p>
    <w:p>
      <w:pPr>
        <w:tabs>
          <w:tab w:pos="2520" w:val="left"/>
        </w:tabs>
        <w:spacing w:after="20" w:line="240" w:lineRule="auto"/>
        <w:ind w:left="115"/>
      </w:pPr>
      <w:r>
        <w:rPr>
          <w:rFonts w:ascii="Arial" w:hAnsi="Arial"/>
          <w:b/>
          <w:color w:val="000000"/>
          <w:sz w:val="19"/>
        </w:rPr>
        <w:t>ACTIVITY / SITE:</w:t>
      </w:r>
      <w:r>
        <w:rPr>
          <w:rFonts w:ascii="Arial" w:hAnsi="Arial"/>
          <w:color w:val="000000"/>
          <w:sz w:val="19"/>
        </w:rPr>
        <w:tab/>
        <w:t>Education, practical learning and site operations</w:t>
      </w:r>
    </w:p>
    <w:p>
      <w:pPr>
        <w:tabs>
          <w:tab w:pos="2520" w:val="left"/>
        </w:tabs>
        <w:spacing w:after="20" w:line="240" w:lineRule="auto"/>
        <w:ind w:left="115"/>
      </w:pPr>
      <w:r>
        <w:rPr>
          <w:rFonts w:ascii="Arial" w:hAnsi="Arial"/>
          <w:b/>
          <w:color w:val="000000"/>
          <w:sz w:val="19"/>
        </w:rPr>
        <w:t>LOCATION:</w:t>
      </w:r>
      <w:r>
        <w:rPr>
          <w:rFonts w:ascii="Arial" w:hAnsi="Arial"/>
          <w:color w:val="000000"/>
          <w:sz w:val="19"/>
        </w:rPr>
        <w:tab/>
        <w:t>Thurston Park, Thurston, Bury St Edmunds, Suffolk, IP31 3RN</w:t>
      </w:r>
    </w:p>
    <w:p>
      <w:pPr>
        <w:tabs>
          <w:tab w:pos="2520" w:val="left"/>
        </w:tabs>
        <w:spacing w:after="20" w:line="240" w:lineRule="auto"/>
        <w:ind w:left="115"/>
      </w:pPr>
      <w:r>
        <w:rPr>
          <w:rFonts w:ascii="Arial" w:hAnsi="Arial"/>
          <w:b/>
          <w:color w:val="000000"/>
          <w:sz w:val="19"/>
        </w:rPr>
        <w:t>ASSESSOR:</w:t>
      </w:r>
      <w:r>
        <w:rPr>
          <w:rFonts w:ascii="Arial" w:hAnsi="Arial"/>
          <w:color w:val="000000"/>
          <w:sz w:val="19"/>
        </w:rPr>
        <w:tab/>
        <w:t>Head of Provision / Site Lead</w:t>
      </w:r>
    </w:p>
    <w:p>
      <w:pPr>
        <w:tabs>
          <w:tab w:pos="2520" w:val="left"/>
        </w:tabs>
        <w:spacing w:after="20" w:line="240" w:lineRule="auto"/>
        <w:ind w:left="115"/>
      </w:pPr>
      <w:r>
        <w:rPr>
          <w:rFonts w:ascii="Arial" w:hAnsi="Arial"/>
          <w:b/>
          <w:color w:val="000000"/>
          <w:sz w:val="19"/>
        </w:rPr>
        <w:t>DATE REVIEWED:</w:t>
      </w:r>
      <w:r>
        <w:rPr>
          <w:rFonts w:ascii="Arial" w:hAnsi="Arial"/>
          <w:color w:val="000000"/>
          <w:sz w:val="19"/>
        </w:rPr>
        <w:tab/>
        <w:t>September 2026</w:t>
      </w:r>
    </w:p>
    <w:p>
      <w:pPr>
        <w:tabs>
          <w:tab w:pos="2520" w:val="left"/>
        </w:tabs>
        <w:spacing w:after="20" w:line="240" w:lineRule="auto"/>
        <w:ind w:left="115"/>
      </w:pPr>
      <w:r>
        <w:rPr>
          <w:rFonts w:ascii="Arial" w:hAnsi="Arial"/>
          <w:b/>
          <w:color w:val="000000"/>
          <w:sz w:val="19"/>
        </w:rPr>
        <w:t>AUTHORISED BY:</w:t>
      </w:r>
      <w:r>
        <w:rPr>
          <w:rFonts w:ascii="Arial" w:hAnsi="Arial"/>
          <w:color w:val="000000"/>
          <w:sz w:val="19"/>
        </w:rPr>
        <w:tab/>
        <w:t>Chief Operating Officer</w:t>
      </w:r>
    </w:p>
    <w:p>
      <w:pPr>
        <w:tabs>
          <w:tab w:pos="2520" w:val="left"/>
        </w:tabs>
        <w:spacing w:after="20" w:line="240" w:lineRule="auto"/>
        <w:ind w:left="115"/>
      </w:pPr>
      <w:r>
        <w:rPr>
          <w:rFonts w:ascii="Arial" w:hAnsi="Arial"/>
          <w:b/>
          <w:color w:val="000000"/>
          <w:sz w:val="19"/>
        </w:rPr>
        <w:t>NEXT REVIEW:</w:t>
      </w:r>
      <w:r>
        <w:rPr>
          <w:rFonts w:ascii="Arial" w:hAnsi="Arial"/>
          <w:color w:val="000000"/>
          <w:sz w:val="19"/>
        </w:rPr>
        <w:tab/>
        <w:t>September 2027</w:t>
      </w:r>
    </w:p>
    <w:p>
      <w:pPr>
        <w:spacing w:after="280"/>
        <w:pBdr>
          <w:bottom w:val="single" w:sz="8" w:space="1" w:color="000000"/>
        </w:pBdr>
      </w:pPr>
    </w:p>
    <w:p>
      <w:pPr>
        <w:pStyle w:val="Heading1"/>
        <w:keepNext/>
      </w:pPr>
      <w:r>
        <w:t>Purpose and Scope</w:t>
      </w:r>
    </w:p>
    <w:p>
      <w:r>
        <w:rPr>
          <w:rFonts w:ascii="Arial" w:hAnsi="Arial"/>
          <w:color w:val="000000"/>
        </w:rPr>
        <w:t>This assessment identifies principal site-wide hazards associated with ReConnect's warehouse and office accommodation at Thurston Park and its practical, creative, catering and tuition activities.</w:t>
      </w:r>
    </w:p>
    <w:p>
      <w:r>
        <w:rPr>
          <w:rFonts w:ascii="Arial" w:hAnsi="Arial"/>
          <w:color w:val="000000"/>
        </w:rPr>
        <w:t>It covers general construction workshops, bike mechanics, music and art, cooking, core tuition areas, shared outdoor areas and the surrounding business park. Activity-specific assessments, COSHH assessments, equipment instructions and individual risk assessments remain necessary.</w:t>
      </w:r>
    </w:p>
    <w:p>
      <w:pPr>
        <w:pStyle w:val="Heading1"/>
        <w:keepNext/>
      </w:pPr>
      <w:r>
        <w:t>Persons at Risk</w:t>
      </w:r>
    </w:p>
    <w:p>
      <w:pPr>
        <w:pStyle w:val="ListBullet"/>
        <w:keepLines/>
        <w:spacing w:after="60" w:line="264" w:lineRule="auto"/>
      </w:pPr>
      <w:r>
        <w:t>Young people</w:t>
      </w:r>
    </w:p>
    <w:p>
      <w:pPr>
        <w:pStyle w:val="ListBullet"/>
        <w:keepLines/>
        <w:spacing w:after="60" w:line="264" w:lineRule="auto"/>
      </w:pPr>
      <w:r>
        <w:t>Employees, agency staff, facilitators and volunteers</w:t>
      </w:r>
    </w:p>
    <w:p>
      <w:pPr>
        <w:pStyle w:val="ListBullet"/>
        <w:keepLines/>
        <w:spacing w:after="60" w:line="264" w:lineRule="auto"/>
      </w:pPr>
      <w:r>
        <w:t>Visitors, contractors and members of the public</w:t>
      </w:r>
    </w:p>
    <w:p>
      <w:pPr>
        <w:pStyle w:val="Heading1"/>
        <w:keepNext/>
      </w:pPr>
      <w:r>
        <w:t>Risk Rating</w:t>
      </w:r>
    </w:p>
    <w:p>
      <w:r>
        <w:rPr>
          <w:rFonts w:ascii="Arial" w:hAnsi="Arial"/>
          <w:color w:val="000000"/>
        </w:rPr>
        <w:t>Residual ratings show the level of risk remaining when all controls are applied. Low: acceptable with controls maintained. Medium: activity may proceed only with active monitoring and any stated additional action. High: activity must not proceed until the risk is reduced and authorised.</w:t>
      </w:r>
    </w:p>
    <w:p>
      <w:pPr>
        <w:pStyle w:val="Heading1"/>
        <w:keepNext/>
        <w:pageBreakBefore/>
      </w:pPr>
      <w:r>
        <w:t>Risk Assessment</w:t>
      </w:r>
    </w:p>
    <w:tbl>
      <w:tblPr>
        <w:tblStyle w:val="TableGrid"/>
        <w:tblW w:type="dxa" w:w="9360"/>
        <w:jc w:val="left"/>
        <w:tblLayout w:type="fixed"/>
        <w:tblLook w:firstColumn="1" w:firstRow="1" w:lastColumn="0" w:lastRow="0" w:noHBand="0" w:noVBand="1" w:val="04A0"/>
        <w:tblInd w:w="100" w:type="dxa"/>
      </w:tblPr>
      <w:tblGrid>
        <w:gridCol w:w="2200"/>
        <w:gridCol w:w="1200"/>
        <w:gridCol w:w="4900"/>
        <w:gridCol w:w="1060"/>
      </w:tblGrid>
      <w:tr>
        <w:trPr>
          <w:tblHeader w:val="true"/>
          <w:cantSplit/>
        </w:trPr>
        <w:tc>
          <w:tcPr>
            <w:tcW w:type="dxa" w:w="2200"/>
            <w:tcMar>
              <w:top w:w="70" w:type="dxa"/>
              <w:start w:w="100" w:type="dxa"/>
              <w:bottom w:w="70" w:type="dxa"/>
              <w:end w:w="100" w:type="dxa"/>
            </w:tcMar>
            <w:vAlign w:val="top"/>
          </w:tcPr>
          <w:p>
            <w:pPr>
              <w:spacing w:after="20" w:line="240" w:lineRule="auto"/>
            </w:pPr>
            <w:r>
              <w:rPr>
                <w:rFonts w:ascii="Arial" w:hAnsi="Arial"/>
                <w:b/>
                <w:color w:val="000000"/>
                <w:sz w:val="16"/>
              </w:rPr>
              <w:t>Hazard and potential harm</w:t>
            </w:r>
          </w:p>
        </w:tc>
        <w:tc>
          <w:tcPr>
            <w:tcW w:type="dxa" w:w="1200"/>
            <w:tcMar>
              <w:top w:w="70" w:type="dxa"/>
              <w:start w:w="100" w:type="dxa"/>
              <w:bottom w:w="70" w:type="dxa"/>
              <w:end w:w="100" w:type="dxa"/>
            </w:tcMar>
            <w:vAlign w:val="top"/>
          </w:tcPr>
          <w:p>
            <w:pPr>
              <w:spacing w:after="20" w:line="240" w:lineRule="auto"/>
            </w:pPr>
            <w:r>
              <w:rPr>
                <w:rFonts w:ascii="Arial" w:hAnsi="Arial"/>
                <w:b/>
                <w:color w:val="000000"/>
                <w:sz w:val="16"/>
              </w:rPr>
              <w:t>Who may be harmed</w:t>
            </w:r>
          </w:p>
        </w:tc>
        <w:tc>
          <w:tcPr>
            <w:tcW w:type="dxa" w:w="4900"/>
            <w:tcMar>
              <w:top w:w="70" w:type="dxa"/>
              <w:start w:w="100" w:type="dxa"/>
              <w:bottom w:w="70" w:type="dxa"/>
              <w:end w:w="100" w:type="dxa"/>
            </w:tcMar>
            <w:vAlign w:val="top"/>
          </w:tcPr>
          <w:p>
            <w:pPr>
              <w:spacing w:after="20" w:line="240" w:lineRule="auto"/>
            </w:pPr>
            <w:r>
              <w:rPr>
                <w:rFonts w:ascii="Arial" w:hAnsi="Arial"/>
                <w:b/>
                <w:color w:val="000000"/>
                <w:sz w:val="16"/>
              </w:rPr>
              <w:t>Control measures and further action</w:t>
            </w:r>
          </w:p>
        </w:tc>
        <w:tc>
          <w:tcPr>
            <w:tcW w:type="dxa" w:w="1060"/>
            <w:tcMar>
              <w:top w:w="70" w:type="dxa"/>
              <w:start w:w="100" w:type="dxa"/>
              <w:bottom w:w="70" w:type="dxa"/>
              <w:end w:w="100" w:type="dxa"/>
            </w:tcMar>
            <w:vAlign w:val="top"/>
          </w:tcPr>
          <w:p>
            <w:pPr>
              <w:spacing w:after="20" w:line="240" w:lineRule="auto"/>
            </w:pPr>
            <w:r>
              <w:rPr>
                <w:rFonts w:ascii="Arial" w:hAnsi="Arial"/>
                <w:b/>
                <w:color w:val="000000"/>
                <w:sz w:val="16"/>
              </w:rPr>
              <w:t>Residual risk</w:t>
            </w:r>
          </w:p>
        </w:tc>
      </w:tr>
      <w:tr>
        <w:trPr>
          <w:cantSplit/>
        </w:trPr>
        <w:tc>
          <w:tcPr>
            <w:tcW w:type="dxa" w:w="2200"/>
            <w:tcMar>
              <w:top w:w="70" w:type="dxa"/>
              <w:start w:w="100" w:type="dxa"/>
              <w:bottom w:w="70" w:type="dxa"/>
              <w:end w:w="100" w:type="dxa"/>
            </w:tcMar>
            <w:vAlign w:val="top"/>
          </w:tcPr>
          <w:p>
            <w:pPr>
              <w:spacing w:after="20" w:line="240" w:lineRule="auto"/>
            </w:pPr>
            <w:r>
              <w:rPr>
                <w:rFonts w:ascii="Arial" w:hAnsi="Arial"/>
                <w:color w:val="000000"/>
                <w:sz w:val="16"/>
              </w:rPr>
              <w:t>Construction workshops</w:t>
              <w:br/>
              <w:t>Machinery, sharp tools, falling material, dust and wet processes causing cuts, crush injury, respiratory harm or falls</w:t>
            </w:r>
          </w:p>
        </w:tc>
        <w:tc>
          <w:tcPr>
            <w:tcW w:type="dxa" w:w="1200"/>
            <w:tcMar>
              <w:top w:w="70" w:type="dxa"/>
              <w:start w:w="100" w:type="dxa"/>
              <w:bottom w:w="70" w:type="dxa"/>
              <w:end w:w="100" w:type="dxa"/>
            </w:tcMar>
            <w:vAlign w:val="top"/>
          </w:tcPr>
          <w:p>
            <w:pPr>
              <w:spacing w:after="20" w:line="240" w:lineRule="auto"/>
            </w:pPr>
            <w:r>
              <w:rPr>
                <w:rFonts w:ascii="Arial" w:hAnsi="Arial"/>
                <w:color w:val="000000"/>
                <w:sz w:val="16"/>
              </w:rPr>
              <w:t>Young people; staff; visitors</w:t>
            </w:r>
          </w:p>
        </w:tc>
        <w:tc>
          <w:tcPr>
            <w:tcW w:type="dxa" w:w="4900"/>
            <w:tcMar>
              <w:top w:w="70" w:type="dxa"/>
              <w:start w:w="100" w:type="dxa"/>
              <w:bottom w:w="70" w:type="dxa"/>
              <w:end w:w="100" w:type="dxa"/>
            </w:tcMar>
            <w:vAlign w:val="top"/>
          </w:tcPr>
          <w:p>
            <w:pPr>
              <w:spacing w:after="20" w:line="240" w:lineRule="auto"/>
            </w:pPr>
            <w:r>
              <w:rPr>
                <w:rFonts w:ascii="Arial" w:hAnsi="Arial"/>
                <w:color w:val="000000"/>
                <w:sz w:val="16"/>
              </w:rPr>
              <w:t>Restricted supervised access. Activity-specific risk assessment and safe system of work. Competent instruction and progressive tool access. Guards, extraction, ventilation, housekeeping and suitable PPE. Tools inspected and securely stored. Hazardous substances controlled under COSHH. Barriers used where work may affect others. Further action: maintain training, inspection and maintenance records.</w:t>
            </w:r>
          </w:p>
        </w:tc>
        <w:tc>
          <w:tcPr>
            <w:tcW w:type="dxa" w:w="1060"/>
            <w:tcMar>
              <w:top w:w="70" w:type="dxa"/>
              <w:start w:w="100" w:type="dxa"/>
              <w:bottom w:w="70" w:type="dxa"/>
              <w:end w:w="100" w:type="dxa"/>
            </w:tcMar>
            <w:vAlign w:val="top"/>
          </w:tcPr>
          <w:p>
            <w:pPr>
              <w:spacing w:after="20" w:line="240" w:lineRule="auto"/>
            </w:pPr>
            <w:r>
              <w:rPr>
                <w:rFonts w:ascii="Arial" w:hAnsi="Arial"/>
                <w:color w:val="000000"/>
                <w:sz w:val="16"/>
              </w:rPr>
              <w:t>M</w:t>
            </w:r>
          </w:p>
        </w:tc>
      </w:tr>
      <w:tr>
        <w:trPr>
          <w:cantSplit/>
        </w:trPr>
        <w:tc>
          <w:tcPr>
            <w:tcW w:type="dxa" w:w="2200"/>
            <w:tcMar>
              <w:top w:w="70" w:type="dxa"/>
              <w:start w:w="100" w:type="dxa"/>
              <w:bottom w:w="70" w:type="dxa"/>
              <w:end w:w="100" w:type="dxa"/>
            </w:tcMar>
            <w:vAlign w:val="top"/>
          </w:tcPr>
          <w:p>
            <w:pPr>
              <w:spacing w:after="20" w:line="240" w:lineRule="auto"/>
            </w:pPr>
            <w:r>
              <w:rPr>
                <w:rFonts w:ascii="Arial" w:hAnsi="Arial"/>
                <w:color w:val="000000"/>
                <w:sz w:val="16"/>
              </w:rPr>
              <w:t>Bike mechanics</w:t>
              <w:br/>
              <w:t>Heavy parts, stands, tools, pinch points, oil and grease</w:t>
            </w:r>
          </w:p>
        </w:tc>
        <w:tc>
          <w:tcPr>
            <w:tcW w:type="dxa" w:w="1200"/>
            <w:tcMar>
              <w:top w:w="70" w:type="dxa"/>
              <w:start w:w="100" w:type="dxa"/>
              <w:bottom w:w="70" w:type="dxa"/>
              <w:end w:w="100" w:type="dxa"/>
            </w:tcMar>
            <w:vAlign w:val="top"/>
          </w:tcPr>
          <w:p>
            <w:pPr>
              <w:spacing w:after="20" w:line="240" w:lineRule="auto"/>
            </w:pPr>
            <w:r>
              <w:rPr>
                <w:rFonts w:ascii="Arial" w:hAnsi="Arial"/>
                <w:color w:val="000000"/>
                <w:sz w:val="16"/>
              </w:rPr>
              <w:t>Young people; staff</w:t>
            </w:r>
          </w:p>
        </w:tc>
        <w:tc>
          <w:tcPr>
            <w:tcW w:type="dxa" w:w="4900"/>
            <w:tcMar>
              <w:top w:w="70" w:type="dxa"/>
              <w:start w:w="100" w:type="dxa"/>
              <w:bottom w:w="70" w:type="dxa"/>
              <w:end w:w="100" w:type="dxa"/>
            </w:tcMar>
            <w:vAlign w:val="top"/>
          </w:tcPr>
          <w:p>
            <w:pPr>
              <w:spacing w:after="20" w:line="240" w:lineRule="auto"/>
            </w:pPr>
            <w:r>
              <w:rPr>
                <w:rFonts w:ascii="Arial" w:hAnsi="Arial"/>
                <w:color w:val="000000"/>
                <w:sz w:val="16"/>
              </w:rPr>
              <w:t>Stable stands and suitable tools. Safe lifting instruction and aids. Gloves and protective footwear where assessed. Spill control and immediate clean-up. Work area kept orderly. Bikes and components secured before work. Damaged tools removed.</w:t>
            </w:r>
          </w:p>
        </w:tc>
        <w:tc>
          <w:tcPr>
            <w:tcW w:type="dxa" w:w="1060"/>
            <w:tcMar>
              <w:top w:w="70" w:type="dxa"/>
              <w:start w:w="100" w:type="dxa"/>
              <w:bottom w:w="70" w:type="dxa"/>
              <w:end w:w="100" w:type="dxa"/>
            </w:tcMar>
            <w:vAlign w:val="top"/>
          </w:tcPr>
          <w:p>
            <w:pPr>
              <w:spacing w:after="20" w:line="240" w:lineRule="auto"/>
            </w:pPr>
            <w:r>
              <w:rPr>
                <w:rFonts w:ascii="Arial" w:hAnsi="Arial"/>
                <w:color w:val="000000"/>
                <w:sz w:val="16"/>
              </w:rPr>
              <w:t>L-M</w:t>
            </w:r>
          </w:p>
        </w:tc>
      </w:tr>
      <w:tr>
        <w:trPr>
          <w:cantSplit/>
        </w:trPr>
        <w:tc>
          <w:tcPr>
            <w:tcW w:type="dxa" w:w="2200"/>
            <w:tcMar>
              <w:top w:w="70" w:type="dxa"/>
              <w:start w:w="100" w:type="dxa"/>
              <w:bottom w:w="70" w:type="dxa"/>
              <w:end w:w="100" w:type="dxa"/>
            </w:tcMar>
            <w:vAlign w:val="top"/>
          </w:tcPr>
          <w:p>
            <w:pPr>
              <w:spacing w:after="20" w:line="240" w:lineRule="auto"/>
            </w:pPr>
            <w:r>
              <w:rPr>
                <w:rFonts w:ascii="Arial" w:hAnsi="Arial"/>
                <w:color w:val="000000"/>
                <w:sz w:val="16"/>
              </w:rPr>
              <w:t>Music and multimedia equipment</w:t>
              <w:br/>
              <w:t>Electric shock, fire, noise and trailing cables</w:t>
            </w:r>
          </w:p>
        </w:tc>
        <w:tc>
          <w:tcPr>
            <w:tcW w:type="dxa" w:w="1200"/>
            <w:tcMar>
              <w:top w:w="70" w:type="dxa"/>
              <w:start w:w="100" w:type="dxa"/>
              <w:bottom w:w="70" w:type="dxa"/>
              <w:end w:w="100" w:type="dxa"/>
            </w:tcMar>
            <w:vAlign w:val="top"/>
          </w:tcPr>
          <w:p>
            <w:pPr>
              <w:spacing w:after="20" w:line="240" w:lineRule="auto"/>
            </w:pPr>
            <w:r>
              <w:rPr>
                <w:rFonts w:ascii="Arial" w:hAnsi="Arial"/>
                <w:color w:val="000000"/>
                <w:sz w:val="16"/>
              </w:rPr>
              <w:t>All</w:t>
            </w:r>
          </w:p>
        </w:tc>
        <w:tc>
          <w:tcPr>
            <w:tcW w:type="dxa" w:w="4900"/>
            <w:tcMar>
              <w:top w:w="70" w:type="dxa"/>
              <w:start w:w="100" w:type="dxa"/>
              <w:bottom w:w="70" w:type="dxa"/>
              <w:end w:w="100" w:type="dxa"/>
            </w:tcMar>
            <w:vAlign w:val="top"/>
          </w:tcPr>
          <w:p>
            <w:pPr>
              <w:spacing w:after="20" w:line="240" w:lineRule="auto"/>
            </w:pPr>
            <w:r>
              <w:rPr>
                <w:rFonts w:ascii="Arial" w:hAnsi="Arial"/>
                <w:color w:val="000000"/>
                <w:sz w:val="16"/>
              </w:rPr>
              <w:t>Electrical equipment maintained and user-checked; formal inspection or PAT testing according to risk. No unauthorised repair. Cables routed or covered. Volume controlled and hearing protection available where required. Liquids kept away from equipment. Ventilation around equipment maintained.</w:t>
            </w:r>
          </w:p>
        </w:tc>
        <w:tc>
          <w:tcPr>
            <w:tcW w:type="dxa" w:w="1060"/>
            <w:tcMar>
              <w:top w:w="70" w:type="dxa"/>
              <w:start w:w="100" w:type="dxa"/>
              <w:bottom w:w="70" w:type="dxa"/>
              <w:end w:w="100" w:type="dxa"/>
            </w:tcMar>
            <w:vAlign w:val="top"/>
          </w:tcPr>
          <w:p>
            <w:pPr>
              <w:spacing w:after="20" w:line="240" w:lineRule="auto"/>
            </w:pPr>
            <w:r>
              <w:rPr>
                <w:rFonts w:ascii="Arial" w:hAnsi="Arial"/>
                <w:color w:val="000000"/>
                <w:sz w:val="16"/>
              </w:rPr>
              <w:t>L</w:t>
            </w:r>
          </w:p>
        </w:tc>
      </w:tr>
      <w:tr>
        <w:trPr>
          <w:cantSplit/>
        </w:trPr>
        <w:tc>
          <w:tcPr>
            <w:tcW w:type="dxa" w:w="2200"/>
            <w:tcMar>
              <w:top w:w="70" w:type="dxa"/>
              <w:start w:w="100" w:type="dxa"/>
              <w:bottom w:w="70" w:type="dxa"/>
              <w:end w:w="100" w:type="dxa"/>
            </w:tcMar>
            <w:vAlign w:val="top"/>
          </w:tcPr>
          <w:p>
            <w:pPr>
              <w:spacing w:after="20" w:line="240" w:lineRule="auto"/>
            </w:pPr>
            <w:r>
              <w:rPr>
                <w:rFonts w:ascii="Arial" w:hAnsi="Arial"/>
                <w:color w:val="000000"/>
                <w:sz w:val="16"/>
              </w:rPr>
              <w:t>Art and textiles</w:t>
              <w:br/>
              <w:t>Sharp tools, hot equipment, substances and repetitive activity</w:t>
            </w:r>
          </w:p>
        </w:tc>
        <w:tc>
          <w:tcPr>
            <w:tcW w:type="dxa" w:w="1200"/>
            <w:tcMar>
              <w:top w:w="70" w:type="dxa"/>
              <w:start w:w="100" w:type="dxa"/>
              <w:bottom w:w="70" w:type="dxa"/>
              <w:end w:w="100" w:type="dxa"/>
            </w:tcMar>
            <w:vAlign w:val="top"/>
          </w:tcPr>
          <w:p>
            <w:pPr>
              <w:spacing w:after="20" w:line="240" w:lineRule="auto"/>
            </w:pPr>
            <w:r>
              <w:rPr>
                <w:rFonts w:ascii="Arial" w:hAnsi="Arial"/>
                <w:color w:val="000000"/>
                <w:sz w:val="16"/>
              </w:rPr>
              <w:t>Young people; staff</w:t>
            </w:r>
          </w:p>
        </w:tc>
        <w:tc>
          <w:tcPr>
            <w:tcW w:type="dxa" w:w="4900"/>
            <w:tcMar>
              <w:top w:w="70" w:type="dxa"/>
              <w:start w:w="100" w:type="dxa"/>
              <w:bottom w:w="70" w:type="dxa"/>
              <w:end w:w="100" w:type="dxa"/>
            </w:tcMar>
            <w:vAlign w:val="top"/>
          </w:tcPr>
          <w:p>
            <w:pPr>
              <w:spacing w:after="20" w:line="240" w:lineRule="auto"/>
            </w:pPr>
            <w:r>
              <w:rPr>
                <w:rFonts w:ascii="Arial" w:hAnsi="Arial"/>
                <w:color w:val="000000"/>
                <w:sz w:val="16"/>
              </w:rPr>
              <w:t>Materials and tools selected for participant ability. Supervision, safe storage, ventilation and PPE as assessed. COSHH information available for adhesives, paints and sprays. Hot tools isolated when not in use. Breaks and ergonomic setup used.</w:t>
            </w:r>
          </w:p>
        </w:tc>
        <w:tc>
          <w:tcPr>
            <w:tcW w:type="dxa" w:w="1060"/>
            <w:tcMar>
              <w:top w:w="70" w:type="dxa"/>
              <w:start w:w="100" w:type="dxa"/>
              <w:bottom w:w="70" w:type="dxa"/>
              <w:end w:w="100" w:type="dxa"/>
            </w:tcMar>
            <w:vAlign w:val="top"/>
          </w:tcPr>
          <w:p>
            <w:pPr>
              <w:spacing w:after="20" w:line="240" w:lineRule="auto"/>
            </w:pPr>
            <w:r>
              <w:rPr>
                <w:rFonts w:ascii="Arial" w:hAnsi="Arial"/>
                <w:color w:val="000000"/>
                <w:sz w:val="16"/>
              </w:rPr>
              <w:t>L-M</w:t>
            </w:r>
          </w:p>
        </w:tc>
      </w:tr>
      <w:tr>
        <w:trPr>
          <w:cantSplit/>
        </w:trPr>
        <w:tc>
          <w:tcPr>
            <w:tcW w:type="dxa" w:w="2200"/>
            <w:tcMar>
              <w:top w:w="70" w:type="dxa"/>
              <w:start w:w="100" w:type="dxa"/>
              <w:bottom w:w="70" w:type="dxa"/>
              <w:end w:w="100" w:type="dxa"/>
            </w:tcMar>
            <w:vAlign w:val="top"/>
          </w:tcPr>
          <w:p>
            <w:pPr>
              <w:spacing w:after="20" w:line="240" w:lineRule="auto"/>
            </w:pPr>
            <w:r>
              <w:rPr>
                <w:rFonts w:ascii="Arial" w:hAnsi="Arial"/>
                <w:color w:val="000000"/>
                <w:sz w:val="16"/>
              </w:rPr>
              <w:t>Cooking and food activities</w:t>
              <w:br/>
              <w:t>Burns, scalds, cuts, fire, allergy and contamination</w:t>
            </w:r>
          </w:p>
        </w:tc>
        <w:tc>
          <w:tcPr>
            <w:tcW w:type="dxa" w:w="1200"/>
            <w:tcMar>
              <w:top w:w="70" w:type="dxa"/>
              <w:start w:w="100" w:type="dxa"/>
              <w:bottom w:w="70" w:type="dxa"/>
              <w:end w:w="100" w:type="dxa"/>
            </w:tcMar>
            <w:vAlign w:val="top"/>
          </w:tcPr>
          <w:p>
            <w:pPr>
              <w:spacing w:after="20" w:line="240" w:lineRule="auto"/>
            </w:pPr>
            <w:r>
              <w:rPr>
                <w:rFonts w:ascii="Arial" w:hAnsi="Arial"/>
                <w:color w:val="000000"/>
                <w:sz w:val="16"/>
              </w:rPr>
              <w:t>Young people; staff; consumers</w:t>
            </w:r>
          </w:p>
        </w:tc>
        <w:tc>
          <w:tcPr>
            <w:tcW w:type="dxa" w:w="4900"/>
            <w:tcMar>
              <w:top w:w="70" w:type="dxa"/>
              <w:start w:w="100" w:type="dxa"/>
              <w:bottom w:w="70" w:type="dxa"/>
              <w:end w:w="100" w:type="dxa"/>
            </w:tcMar>
            <w:vAlign w:val="top"/>
          </w:tcPr>
          <w:p>
            <w:pPr>
              <w:spacing w:after="20" w:line="240" w:lineRule="auto"/>
            </w:pPr>
            <w:r>
              <w:rPr>
                <w:rFonts w:ascii="Arial" w:hAnsi="Arial"/>
                <w:color w:val="000000"/>
                <w:sz w:val="16"/>
              </w:rPr>
              <w:t>Separate kitchen and food-activity assessments followed. Appliances maintained and supervised. Sharp utensils controlled. Spills cleaned immediately. Food hygiene, temperature, allergen and cross-contamination controls applied. Suitable PPE and first-aid arrangements available.</w:t>
            </w:r>
          </w:p>
        </w:tc>
        <w:tc>
          <w:tcPr>
            <w:tcW w:type="dxa" w:w="1060"/>
            <w:tcMar>
              <w:top w:w="70" w:type="dxa"/>
              <w:start w:w="100" w:type="dxa"/>
              <w:bottom w:w="70" w:type="dxa"/>
              <w:end w:w="100" w:type="dxa"/>
            </w:tcMar>
            <w:vAlign w:val="top"/>
          </w:tcPr>
          <w:p>
            <w:pPr>
              <w:spacing w:after="20" w:line="240" w:lineRule="auto"/>
            </w:pPr>
            <w:r>
              <w:rPr>
                <w:rFonts w:ascii="Arial" w:hAnsi="Arial"/>
                <w:color w:val="000000"/>
                <w:sz w:val="16"/>
              </w:rPr>
              <w:t>M</w:t>
            </w:r>
          </w:p>
        </w:tc>
      </w:tr>
      <w:tr>
        <w:trPr>
          <w:cantSplit/>
        </w:trPr>
        <w:tc>
          <w:tcPr>
            <w:tcW w:type="dxa" w:w="2200"/>
            <w:tcMar>
              <w:top w:w="70" w:type="dxa"/>
              <w:start w:w="100" w:type="dxa"/>
              <w:bottom w:w="70" w:type="dxa"/>
              <w:end w:w="100" w:type="dxa"/>
            </w:tcMar>
            <w:vAlign w:val="top"/>
          </w:tcPr>
          <w:p>
            <w:pPr>
              <w:spacing w:after="20" w:line="240" w:lineRule="auto"/>
            </w:pPr>
            <w:r>
              <w:rPr>
                <w:rFonts w:ascii="Arial" w:hAnsi="Arial"/>
                <w:color w:val="000000"/>
                <w:sz w:val="16"/>
              </w:rPr>
              <w:t>Core tuition and shared indoor areas</w:t>
              <w:br/>
              <w:t>Trips, overcrowding, fatigue, distraction or dysregulation</w:t>
            </w:r>
          </w:p>
        </w:tc>
        <w:tc>
          <w:tcPr>
            <w:tcW w:type="dxa" w:w="1200"/>
            <w:tcMar>
              <w:top w:w="70" w:type="dxa"/>
              <w:start w:w="100" w:type="dxa"/>
              <w:bottom w:w="70" w:type="dxa"/>
              <w:end w:w="100" w:type="dxa"/>
            </w:tcMar>
            <w:vAlign w:val="top"/>
          </w:tcPr>
          <w:p>
            <w:pPr>
              <w:spacing w:after="20" w:line="240" w:lineRule="auto"/>
            </w:pPr>
            <w:r>
              <w:rPr>
                <w:rFonts w:ascii="Arial" w:hAnsi="Arial"/>
                <w:color w:val="000000"/>
                <w:sz w:val="16"/>
              </w:rPr>
              <w:t>All</w:t>
            </w:r>
          </w:p>
        </w:tc>
        <w:tc>
          <w:tcPr>
            <w:tcW w:type="dxa" w:w="4900"/>
            <w:tcMar>
              <w:top w:w="70" w:type="dxa"/>
              <w:start w:w="100" w:type="dxa"/>
              <w:bottom w:w="70" w:type="dxa"/>
              <w:end w:w="100" w:type="dxa"/>
            </w:tcMar>
            <w:vAlign w:val="top"/>
          </w:tcPr>
          <w:p>
            <w:pPr>
              <w:spacing w:after="20" w:line="240" w:lineRule="auto"/>
            </w:pPr>
            <w:r>
              <w:rPr>
                <w:rFonts w:ascii="Arial" w:hAnsi="Arial"/>
                <w:color w:val="000000"/>
                <w:sz w:val="16"/>
              </w:rPr>
              <w:t>Clear walkways and appropriate furniture. Occupancy and room use managed. Quiet and regulation spaces available. Planned breaks and individual support. Practical and academic zones separated. Staff respond early to behavioural or emotional escalation.</w:t>
            </w:r>
          </w:p>
        </w:tc>
        <w:tc>
          <w:tcPr>
            <w:tcW w:type="dxa" w:w="1060"/>
            <w:tcMar>
              <w:top w:w="70" w:type="dxa"/>
              <w:start w:w="100" w:type="dxa"/>
              <w:bottom w:w="70" w:type="dxa"/>
              <w:end w:w="100" w:type="dxa"/>
            </w:tcMar>
            <w:vAlign w:val="top"/>
          </w:tcPr>
          <w:p>
            <w:pPr>
              <w:spacing w:after="20" w:line="240" w:lineRule="auto"/>
            </w:pPr>
            <w:r>
              <w:rPr>
                <w:rFonts w:ascii="Arial" w:hAnsi="Arial"/>
                <w:color w:val="000000"/>
                <w:sz w:val="16"/>
              </w:rPr>
              <w:t>L-M</w:t>
            </w:r>
          </w:p>
        </w:tc>
      </w:tr>
      <w:tr>
        <w:trPr>
          <w:cantSplit/>
        </w:trPr>
        <w:tc>
          <w:tcPr>
            <w:tcW w:type="dxa" w:w="2200"/>
            <w:tcMar>
              <w:top w:w="70" w:type="dxa"/>
              <w:start w:w="100" w:type="dxa"/>
              <w:bottom w:w="70" w:type="dxa"/>
              <w:end w:w="100" w:type="dxa"/>
            </w:tcMar>
            <w:vAlign w:val="top"/>
          </w:tcPr>
          <w:p>
            <w:pPr>
              <w:spacing w:after="20" w:line="240" w:lineRule="auto"/>
            </w:pPr>
            <w:r>
              <w:rPr>
                <w:rFonts w:ascii="Arial" w:hAnsi="Arial"/>
                <w:color w:val="000000"/>
                <w:sz w:val="16"/>
              </w:rPr>
              <w:t>General slips, trips and falls</w:t>
              <w:br/>
              <w:t>Sprain, fracture or head injury</w:t>
            </w:r>
          </w:p>
        </w:tc>
        <w:tc>
          <w:tcPr>
            <w:tcW w:type="dxa" w:w="1200"/>
            <w:tcMar>
              <w:top w:w="70" w:type="dxa"/>
              <w:start w:w="100" w:type="dxa"/>
              <w:bottom w:w="70" w:type="dxa"/>
              <w:end w:w="100" w:type="dxa"/>
            </w:tcMar>
            <w:vAlign w:val="top"/>
          </w:tcPr>
          <w:p>
            <w:pPr>
              <w:spacing w:after="20" w:line="240" w:lineRule="auto"/>
            </w:pPr>
            <w:r>
              <w:rPr>
                <w:rFonts w:ascii="Arial" w:hAnsi="Arial"/>
                <w:color w:val="000000"/>
                <w:sz w:val="16"/>
              </w:rPr>
              <w:t>All</w:t>
            </w:r>
          </w:p>
        </w:tc>
        <w:tc>
          <w:tcPr>
            <w:tcW w:type="dxa" w:w="4900"/>
            <w:tcMar>
              <w:top w:w="70" w:type="dxa"/>
              <w:start w:w="100" w:type="dxa"/>
              <w:bottom w:w="70" w:type="dxa"/>
              <w:end w:w="100" w:type="dxa"/>
            </w:tcMar>
            <w:vAlign w:val="top"/>
          </w:tcPr>
          <w:p>
            <w:pPr>
              <w:spacing w:after="20" w:line="240" w:lineRule="auto"/>
            </w:pPr>
            <w:r>
              <w:rPr>
                <w:rFonts w:ascii="Arial" w:hAnsi="Arial"/>
                <w:color w:val="000000"/>
                <w:sz w:val="16"/>
              </w:rPr>
              <w:t>Routine inspections and prompt defect reporting. Floors, stairs, corridors and exits kept clear. Spill response and warning signs. Suitable lighting and handrails. Weather-related water or ice managed. Visitors supervised where needed.</w:t>
            </w:r>
          </w:p>
        </w:tc>
        <w:tc>
          <w:tcPr>
            <w:tcW w:type="dxa" w:w="1060"/>
            <w:tcMar>
              <w:top w:w="70" w:type="dxa"/>
              <w:start w:w="100" w:type="dxa"/>
              <w:bottom w:w="70" w:type="dxa"/>
              <w:end w:w="100" w:type="dxa"/>
            </w:tcMar>
            <w:vAlign w:val="top"/>
          </w:tcPr>
          <w:p>
            <w:pPr>
              <w:spacing w:after="20" w:line="240" w:lineRule="auto"/>
            </w:pPr>
            <w:r>
              <w:rPr>
                <w:rFonts w:ascii="Arial" w:hAnsi="Arial"/>
                <w:color w:val="000000"/>
                <w:sz w:val="16"/>
              </w:rPr>
              <w:t>L</w:t>
            </w:r>
          </w:p>
        </w:tc>
      </w:tr>
      <w:tr>
        <w:trPr>
          <w:cantSplit/>
        </w:trPr>
        <w:tc>
          <w:tcPr>
            <w:tcW w:type="dxa" w:w="2200"/>
            <w:tcMar>
              <w:top w:w="70" w:type="dxa"/>
              <w:start w:w="100" w:type="dxa"/>
              <w:bottom w:w="70" w:type="dxa"/>
              <w:end w:w="100" w:type="dxa"/>
            </w:tcMar>
            <w:vAlign w:val="top"/>
          </w:tcPr>
          <w:p>
            <w:pPr>
              <w:spacing w:after="20" w:line="240" w:lineRule="auto"/>
            </w:pPr>
            <w:r>
              <w:rPr>
                <w:rFonts w:ascii="Arial" w:hAnsi="Arial"/>
                <w:color w:val="000000"/>
                <w:sz w:val="16"/>
              </w:rPr>
              <w:t>Business park traffic and deliveries</w:t>
              <w:br/>
              <w:t>Pedestrian struck by vehicle</w:t>
            </w:r>
          </w:p>
        </w:tc>
        <w:tc>
          <w:tcPr>
            <w:tcW w:type="dxa" w:w="1200"/>
            <w:tcMar>
              <w:top w:w="70" w:type="dxa"/>
              <w:start w:w="100" w:type="dxa"/>
              <w:bottom w:w="70" w:type="dxa"/>
              <w:end w:w="100" w:type="dxa"/>
            </w:tcMar>
            <w:vAlign w:val="top"/>
          </w:tcPr>
          <w:p>
            <w:pPr>
              <w:spacing w:after="20" w:line="240" w:lineRule="auto"/>
            </w:pPr>
            <w:r>
              <w:rPr>
                <w:rFonts w:ascii="Arial" w:hAnsi="Arial"/>
                <w:color w:val="000000"/>
                <w:sz w:val="16"/>
              </w:rPr>
              <w:t>All</w:t>
            </w:r>
          </w:p>
        </w:tc>
        <w:tc>
          <w:tcPr>
            <w:tcW w:type="dxa" w:w="4900"/>
            <w:tcMar>
              <w:top w:w="70" w:type="dxa"/>
              <w:start w:w="100" w:type="dxa"/>
              <w:bottom w:w="70" w:type="dxa"/>
              <w:end w:w="100" w:type="dxa"/>
            </w:tcMar>
            <w:vAlign w:val="top"/>
          </w:tcPr>
          <w:p>
            <w:pPr>
              <w:spacing w:after="20" w:line="240" w:lineRule="auto"/>
            </w:pPr>
            <w:r>
              <w:rPr>
                <w:rFonts w:ascii="Arial" w:hAnsi="Arial"/>
                <w:color w:val="000000"/>
                <w:sz w:val="16"/>
              </w:rPr>
              <w:t>Young people supervised outdoors according to need. Use designated pedestrian routes and safe crossing points. Arrival, departure and parking arrangements communicated. Delivery activity separated where practicable. High-visibility clothing used when risk assessment requires. No unsupervised access to vehicle movement areas.</w:t>
            </w:r>
          </w:p>
        </w:tc>
        <w:tc>
          <w:tcPr>
            <w:tcW w:type="dxa" w:w="1060"/>
            <w:tcMar>
              <w:top w:w="70" w:type="dxa"/>
              <w:start w:w="100" w:type="dxa"/>
              <w:bottom w:w="70" w:type="dxa"/>
              <w:end w:w="100" w:type="dxa"/>
            </w:tcMar>
            <w:vAlign w:val="top"/>
          </w:tcPr>
          <w:p>
            <w:pPr>
              <w:spacing w:after="20" w:line="240" w:lineRule="auto"/>
            </w:pPr>
            <w:r>
              <w:rPr>
                <w:rFonts w:ascii="Arial" w:hAnsi="Arial"/>
                <w:color w:val="000000"/>
                <w:sz w:val="16"/>
              </w:rPr>
              <w:t>M</w:t>
            </w:r>
          </w:p>
        </w:tc>
      </w:tr>
      <w:tr>
        <w:trPr>
          <w:cantSplit/>
        </w:trPr>
        <w:tc>
          <w:tcPr>
            <w:tcW w:type="dxa" w:w="2200"/>
            <w:tcMar>
              <w:top w:w="70" w:type="dxa"/>
              <w:start w:w="100" w:type="dxa"/>
              <w:bottom w:w="70" w:type="dxa"/>
              <w:end w:w="100" w:type="dxa"/>
            </w:tcMar>
            <w:vAlign w:val="top"/>
          </w:tcPr>
          <w:p>
            <w:pPr>
              <w:spacing w:after="20" w:line="240" w:lineRule="auto"/>
            </w:pPr>
            <w:r>
              <w:rPr>
                <w:rFonts w:ascii="Arial" w:hAnsi="Arial"/>
                <w:color w:val="000000"/>
                <w:sz w:val="16"/>
              </w:rPr>
              <w:t>Front gate and unauthorised access</w:t>
              <w:br/>
              <w:t>Young person leaving, intruder or delayed evacuation</w:t>
            </w:r>
          </w:p>
        </w:tc>
        <w:tc>
          <w:tcPr>
            <w:tcW w:type="dxa" w:w="1200"/>
            <w:tcMar>
              <w:top w:w="70" w:type="dxa"/>
              <w:start w:w="100" w:type="dxa"/>
              <w:bottom w:w="70" w:type="dxa"/>
              <w:end w:w="100" w:type="dxa"/>
            </w:tcMar>
            <w:vAlign w:val="top"/>
          </w:tcPr>
          <w:p>
            <w:pPr>
              <w:spacing w:after="20" w:line="240" w:lineRule="auto"/>
            </w:pPr>
            <w:r>
              <w:rPr>
                <w:rFonts w:ascii="Arial" w:hAnsi="Arial"/>
                <w:color w:val="000000"/>
                <w:sz w:val="16"/>
              </w:rPr>
              <w:t>Young people; staff; visitors</w:t>
            </w:r>
          </w:p>
        </w:tc>
        <w:tc>
          <w:tcPr>
            <w:tcW w:type="dxa" w:w="4900"/>
            <w:tcMar>
              <w:top w:w="70" w:type="dxa"/>
              <w:start w:w="100" w:type="dxa"/>
              <w:bottom w:w="70" w:type="dxa"/>
              <w:end w:w="100" w:type="dxa"/>
            </w:tcMar>
            <w:vAlign w:val="top"/>
          </w:tcPr>
          <w:p>
            <w:pPr>
              <w:spacing w:after="20" w:line="240" w:lineRule="auto"/>
            </w:pPr>
            <w:r>
              <w:rPr>
                <w:rFonts w:ascii="Arial" w:hAnsi="Arial"/>
                <w:color w:val="000000"/>
                <w:sz w:val="16"/>
              </w:rPr>
              <w:t>Gate access controlled under site security procedure. Codes restricted to authorised staff and changed when compromised. Supervision and attendance monitored. Locking arrangements must never obstruct emergency escape. Visitors sign in and are identifiable. Staff check the gate when supervision or occupancy changes.</w:t>
            </w:r>
          </w:p>
        </w:tc>
        <w:tc>
          <w:tcPr>
            <w:tcW w:type="dxa" w:w="1060"/>
            <w:tcMar>
              <w:top w:w="70" w:type="dxa"/>
              <w:start w:w="100" w:type="dxa"/>
              <w:bottom w:w="70" w:type="dxa"/>
              <w:end w:w="100" w:type="dxa"/>
            </w:tcMar>
            <w:vAlign w:val="top"/>
          </w:tcPr>
          <w:p>
            <w:pPr>
              <w:spacing w:after="20" w:line="240" w:lineRule="auto"/>
            </w:pPr>
            <w:r>
              <w:rPr>
                <w:rFonts w:ascii="Arial" w:hAnsi="Arial"/>
                <w:color w:val="000000"/>
                <w:sz w:val="16"/>
              </w:rPr>
              <w:t>M</w:t>
            </w:r>
          </w:p>
        </w:tc>
      </w:tr>
      <w:tr>
        <w:trPr>
          <w:cantSplit/>
        </w:trPr>
        <w:tc>
          <w:tcPr>
            <w:tcW w:type="dxa" w:w="2200"/>
            <w:tcMar>
              <w:top w:w="70" w:type="dxa"/>
              <w:start w:w="100" w:type="dxa"/>
              <w:bottom w:w="70" w:type="dxa"/>
              <w:end w:w="100" w:type="dxa"/>
            </w:tcMar>
            <w:vAlign w:val="top"/>
          </w:tcPr>
          <w:p>
            <w:pPr>
              <w:spacing w:after="20" w:line="240" w:lineRule="auto"/>
            </w:pPr>
            <w:r>
              <w:rPr>
                <w:rFonts w:ascii="Arial" w:hAnsi="Arial"/>
                <w:color w:val="000000"/>
                <w:sz w:val="16"/>
              </w:rPr>
              <w:t>Fire, smoke or evacuation</w:t>
              <w:br/>
              <w:t>Burns, inhalation or separation</w:t>
            </w:r>
          </w:p>
        </w:tc>
        <w:tc>
          <w:tcPr>
            <w:tcW w:type="dxa" w:w="1200"/>
            <w:tcMar>
              <w:top w:w="70" w:type="dxa"/>
              <w:start w:w="100" w:type="dxa"/>
              <w:bottom w:w="70" w:type="dxa"/>
              <w:end w:w="100" w:type="dxa"/>
            </w:tcMar>
            <w:vAlign w:val="top"/>
          </w:tcPr>
          <w:p>
            <w:pPr>
              <w:spacing w:after="20" w:line="240" w:lineRule="auto"/>
            </w:pPr>
            <w:r>
              <w:rPr>
                <w:rFonts w:ascii="Arial" w:hAnsi="Arial"/>
                <w:color w:val="000000"/>
                <w:sz w:val="16"/>
              </w:rPr>
              <w:t>All</w:t>
            </w:r>
          </w:p>
        </w:tc>
        <w:tc>
          <w:tcPr>
            <w:tcW w:type="dxa" w:w="4900"/>
            <w:tcMar>
              <w:top w:w="70" w:type="dxa"/>
              <w:start w:w="100" w:type="dxa"/>
              <w:bottom w:w="70" w:type="dxa"/>
              <w:end w:w="100" w:type="dxa"/>
            </w:tcMar>
            <w:vAlign w:val="top"/>
          </w:tcPr>
          <w:p>
            <w:pPr>
              <w:spacing w:after="20" w:line="240" w:lineRule="auto"/>
            </w:pPr>
            <w:r>
              <w:rPr>
                <w:rFonts w:ascii="Arial" w:hAnsi="Arial"/>
                <w:color w:val="000000"/>
                <w:sz w:val="16"/>
              </w:rPr>
              <w:t>Fire risk assessment and emergency plan maintained. Alarm, emergency lighting, extinguishers and exits inspected. Routes unobstructed. Drills and staff training completed. Attendance and visitor records support accountability. Individual evacuation needs planned.</w:t>
            </w:r>
          </w:p>
        </w:tc>
        <w:tc>
          <w:tcPr>
            <w:tcW w:type="dxa" w:w="1060"/>
            <w:tcMar>
              <w:top w:w="70" w:type="dxa"/>
              <w:start w:w="100" w:type="dxa"/>
              <w:bottom w:w="70" w:type="dxa"/>
              <w:end w:w="100" w:type="dxa"/>
            </w:tcMar>
            <w:vAlign w:val="top"/>
          </w:tcPr>
          <w:p>
            <w:pPr>
              <w:spacing w:after="20" w:line="240" w:lineRule="auto"/>
            </w:pPr>
            <w:r>
              <w:rPr>
                <w:rFonts w:ascii="Arial" w:hAnsi="Arial"/>
                <w:color w:val="000000"/>
                <w:sz w:val="16"/>
              </w:rPr>
              <w:t>L-M</w:t>
            </w:r>
          </w:p>
        </w:tc>
      </w:tr>
      <w:tr>
        <w:trPr>
          <w:cantSplit/>
        </w:trPr>
        <w:tc>
          <w:tcPr>
            <w:tcW w:type="dxa" w:w="2200"/>
            <w:tcMar>
              <w:top w:w="70" w:type="dxa"/>
              <w:start w:w="100" w:type="dxa"/>
              <w:bottom w:w="70" w:type="dxa"/>
              <w:end w:w="100" w:type="dxa"/>
            </w:tcMar>
            <w:vAlign w:val="top"/>
          </w:tcPr>
          <w:p>
            <w:pPr>
              <w:spacing w:after="20" w:line="240" w:lineRule="auto"/>
            </w:pPr>
            <w:r>
              <w:rPr>
                <w:rFonts w:ascii="Arial" w:hAnsi="Arial"/>
                <w:color w:val="000000"/>
                <w:sz w:val="16"/>
              </w:rPr>
              <w:t>Medical emergency and first aid</w:t>
              <w:br/>
              <w:t>Delayed treatment or deterioration</w:t>
            </w:r>
          </w:p>
        </w:tc>
        <w:tc>
          <w:tcPr>
            <w:tcW w:type="dxa" w:w="1200"/>
            <w:tcMar>
              <w:top w:w="70" w:type="dxa"/>
              <w:start w:w="100" w:type="dxa"/>
              <w:bottom w:w="70" w:type="dxa"/>
              <w:end w:w="100" w:type="dxa"/>
            </w:tcMar>
            <w:vAlign w:val="top"/>
          </w:tcPr>
          <w:p>
            <w:pPr>
              <w:spacing w:after="20" w:line="240" w:lineRule="auto"/>
            </w:pPr>
            <w:r>
              <w:rPr>
                <w:rFonts w:ascii="Arial" w:hAnsi="Arial"/>
                <w:color w:val="000000"/>
                <w:sz w:val="16"/>
              </w:rPr>
              <w:t>All</w:t>
            </w:r>
          </w:p>
        </w:tc>
        <w:tc>
          <w:tcPr>
            <w:tcW w:type="dxa" w:w="4900"/>
            <w:tcMar>
              <w:top w:w="70" w:type="dxa"/>
              <w:start w:w="100" w:type="dxa"/>
              <w:bottom w:w="70" w:type="dxa"/>
              <w:end w:w="100" w:type="dxa"/>
            </w:tcMar>
            <w:vAlign w:val="top"/>
          </w:tcPr>
          <w:p>
            <w:pPr>
              <w:spacing w:after="20" w:line="240" w:lineRule="auto"/>
            </w:pPr>
            <w:r>
              <w:rPr>
                <w:rFonts w:ascii="Arial" w:hAnsi="Arial"/>
                <w:color w:val="000000"/>
                <w:sz w:val="16"/>
              </w:rPr>
              <w:t>Needs and emergency contacts current. Trained first aiders and suitable kits available. Medication managed securely and remains accessible as required. Emergency access kept clear. Accidents recorded and reviewed; 999 and RIDDOR processes followed where applicable.</w:t>
            </w:r>
          </w:p>
        </w:tc>
        <w:tc>
          <w:tcPr>
            <w:tcW w:type="dxa" w:w="1060"/>
            <w:tcMar>
              <w:top w:w="70" w:type="dxa"/>
              <w:start w:w="100" w:type="dxa"/>
              <w:bottom w:w="70" w:type="dxa"/>
              <w:end w:w="100" w:type="dxa"/>
            </w:tcMar>
            <w:vAlign w:val="top"/>
          </w:tcPr>
          <w:p>
            <w:pPr>
              <w:spacing w:after="20" w:line="240" w:lineRule="auto"/>
            </w:pPr>
            <w:r>
              <w:rPr>
                <w:rFonts w:ascii="Arial" w:hAnsi="Arial"/>
                <w:color w:val="000000"/>
                <w:sz w:val="16"/>
              </w:rPr>
              <w:t>L</w:t>
            </w:r>
          </w:p>
        </w:tc>
      </w:tr>
      <w:tr>
        <w:trPr>
          <w:cantSplit/>
        </w:trPr>
        <w:tc>
          <w:tcPr>
            <w:tcW w:type="dxa" w:w="2200"/>
            <w:tcMar>
              <w:top w:w="70" w:type="dxa"/>
              <w:start w:w="100" w:type="dxa"/>
              <w:bottom w:w="70" w:type="dxa"/>
              <w:end w:w="100" w:type="dxa"/>
            </w:tcMar>
            <w:vAlign w:val="top"/>
          </w:tcPr>
          <w:p>
            <w:pPr>
              <w:spacing w:after="20" w:line="240" w:lineRule="auto"/>
            </w:pPr>
            <w:r>
              <w:rPr>
                <w:rFonts w:ascii="Arial" w:hAnsi="Arial"/>
                <w:color w:val="000000"/>
                <w:sz w:val="16"/>
              </w:rPr>
              <w:t>Safeguarding, violence or behavioural escalation</w:t>
              <w:br/>
              <w:t>Physical or emotional harm</w:t>
            </w:r>
          </w:p>
        </w:tc>
        <w:tc>
          <w:tcPr>
            <w:tcW w:type="dxa" w:w="1200"/>
            <w:tcMar>
              <w:top w:w="70" w:type="dxa"/>
              <w:start w:w="100" w:type="dxa"/>
              <w:bottom w:w="70" w:type="dxa"/>
              <w:end w:w="100" w:type="dxa"/>
            </w:tcMar>
            <w:vAlign w:val="top"/>
          </w:tcPr>
          <w:p>
            <w:pPr>
              <w:spacing w:after="20" w:line="240" w:lineRule="auto"/>
            </w:pPr>
            <w:r>
              <w:rPr>
                <w:rFonts w:ascii="Arial" w:hAnsi="Arial"/>
                <w:color w:val="000000"/>
                <w:sz w:val="16"/>
              </w:rPr>
              <w:t>Young people; staff; visitors</w:t>
            </w:r>
          </w:p>
        </w:tc>
        <w:tc>
          <w:tcPr>
            <w:tcW w:type="dxa" w:w="4900"/>
            <w:tcMar>
              <w:top w:w="70" w:type="dxa"/>
              <w:start w:w="100" w:type="dxa"/>
              <w:bottom w:w="70" w:type="dxa"/>
              <w:end w:w="100" w:type="dxa"/>
            </w:tcMar>
            <w:vAlign w:val="top"/>
          </w:tcPr>
          <w:p>
            <w:pPr>
              <w:spacing w:after="20" w:line="240" w:lineRule="auto"/>
            </w:pPr>
            <w:r>
              <w:rPr>
                <w:rFonts w:ascii="Arial" w:hAnsi="Arial"/>
                <w:color w:val="000000"/>
                <w:sz w:val="16"/>
              </w:rPr>
              <w:t>Safeguarding and behaviour procedures applied. Staff know individual plans, triggers and de-escalation strategies. Appropriate staffing and communication. Potential weapons and hazardous tools secured. Incidents and concerns reported promptly. Police called for immediate danger.</w:t>
            </w:r>
          </w:p>
        </w:tc>
        <w:tc>
          <w:tcPr>
            <w:tcW w:type="dxa" w:w="1060"/>
            <w:tcMar>
              <w:top w:w="70" w:type="dxa"/>
              <w:start w:w="100" w:type="dxa"/>
              <w:bottom w:w="70" w:type="dxa"/>
              <w:end w:w="100" w:type="dxa"/>
            </w:tcMar>
            <w:vAlign w:val="top"/>
          </w:tcPr>
          <w:p>
            <w:pPr>
              <w:spacing w:after="20" w:line="240" w:lineRule="auto"/>
            </w:pPr>
            <w:r>
              <w:rPr>
                <w:rFonts w:ascii="Arial" w:hAnsi="Arial"/>
                <w:color w:val="000000"/>
                <w:sz w:val="16"/>
              </w:rPr>
              <w:t>M</w:t>
            </w:r>
          </w:p>
        </w:tc>
      </w:tr>
      <w:tr>
        <w:trPr>
          <w:cantSplit/>
        </w:trPr>
        <w:tc>
          <w:tcPr>
            <w:tcW w:type="dxa" w:w="2200"/>
            <w:tcMar>
              <w:top w:w="70" w:type="dxa"/>
              <w:start w:w="100" w:type="dxa"/>
              <w:bottom w:w="70" w:type="dxa"/>
              <w:end w:w="100" w:type="dxa"/>
            </w:tcMar>
            <w:vAlign w:val="top"/>
          </w:tcPr>
          <w:p>
            <w:pPr>
              <w:spacing w:after="20" w:line="240" w:lineRule="auto"/>
            </w:pPr>
            <w:r>
              <w:rPr>
                <w:rFonts w:ascii="Arial" w:hAnsi="Arial"/>
                <w:color w:val="000000"/>
                <w:sz w:val="16"/>
              </w:rPr>
              <w:t>Contractors, maintenance and change</w:t>
              <w:br/>
              <w:t>Uncontrolled work affecting occupants</w:t>
            </w:r>
          </w:p>
        </w:tc>
        <w:tc>
          <w:tcPr>
            <w:tcW w:type="dxa" w:w="1200"/>
            <w:tcMar>
              <w:top w:w="70" w:type="dxa"/>
              <w:start w:w="100" w:type="dxa"/>
              <w:bottom w:w="70" w:type="dxa"/>
              <w:end w:w="100" w:type="dxa"/>
            </w:tcMar>
            <w:vAlign w:val="top"/>
          </w:tcPr>
          <w:p>
            <w:pPr>
              <w:spacing w:after="20" w:line="240" w:lineRule="auto"/>
            </w:pPr>
            <w:r>
              <w:rPr>
                <w:rFonts w:ascii="Arial" w:hAnsi="Arial"/>
                <w:color w:val="000000"/>
                <w:sz w:val="16"/>
              </w:rPr>
              <w:t>All</w:t>
            </w:r>
          </w:p>
        </w:tc>
        <w:tc>
          <w:tcPr>
            <w:tcW w:type="dxa" w:w="4900"/>
            <w:tcMar>
              <w:top w:w="70" w:type="dxa"/>
              <w:start w:w="100" w:type="dxa"/>
              <w:bottom w:w="70" w:type="dxa"/>
              <w:end w:w="100" w:type="dxa"/>
            </w:tcMar>
            <w:vAlign w:val="top"/>
          </w:tcPr>
          <w:p>
            <w:pPr>
              <w:spacing w:after="20" w:line="240" w:lineRule="auto"/>
            </w:pPr>
            <w:r>
              <w:rPr>
                <w:rFonts w:ascii="Arial" w:hAnsi="Arial"/>
                <w:color w:val="000000"/>
                <w:sz w:val="16"/>
              </w:rPr>
              <w:t>Contractors sign in, provide relevant risk information and are supervised or segregated as required. Work scheduled to reduce exposure. Asbestos, utilities, hot work and isolation controls checked where relevant. Site assessment reviewed before new equipment, rooms or activities are introduced.</w:t>
            </w:r>
          </w:p>
        </w:tc>
        <w:tc>
          <w:tcPr>
            <w:tcW w:type="dxa" w:w="1060"/>
            <w:tcMar>
              <w:top w:w="70" w:type="dxa"/>
              <w:start w:w="100" w:type="dxa"/>
              <w:bottom w:w="70" w:type="dxa"/>
              <w:end w:w="100" w:type="dxa"/>
            </w:tcMar>
            <w:vAlign w:val="top"/>
          </w:tcPr>
          <w:p>
            <w:pPr>
              <w:spacing w:after="20" w:line="240" w:lineRule="auto"/>
            </w:pPr>
            <w:r>
              <w:rPr>
                <w:rFonts w:ascii="Arial" w:hAnsi="Arial"/>
                <w:color w:val="000000"/>
                <w:sz w:val="16"/>
              </w:rPr>
              <w:t>M</w:t>
            </w:r>
          </w:p>
        </w:tc>
      </w:tr>
    </w:tbl>
    <w:p>
      <w:pPr>
        <w:pStyle w:val="Heading1"/>
        <w:keepNext/>
      </w:pPr>
      <w:r>
        <w:t>Site Management Actions</w:t>
      </w:r>
    </w:p>
    <w:p>
      <w:pPr>
        <w:pStyle w:val="ListBullet"/>
        <w:keepLines/>
        <w:spacing w:after="60" w:line="264" w:lineRule="auto"/>
      </w:pPr>
      <w:r>
        <w:t>Maintain current equipment, fire, first-aid, cleaning, gate and premises inspection records.</w:t>
      </w:r>
    </w:p>
    <w:p>
      <w:pPr>
        <w:pStyle w:val="ListBullet"/>
        <w:keepLines/>
        <w:spacing w:after="60" w:line="264" w:lineRule="auto"/>
      </w:pPr>
      <w:r>
        <w:t>Ensure every practical activity has an appropriate specific assessment and safe operating procedure.</w:t>
      </w:r>
    </w:p>
    <w:p>
      <w:pPr>
        <w:pStyle w:val="ListBullet"/>
        <w:keepLines/>
        <w:spacing w:after="60" w:line="264" w:lineRule="auto"/>
      </w:pPr>
      <w:r>
        <w:t>Record defects, allocate action owners and prevent use where a defect creates unacceptable risk.</w:t>
      </w:r>
    </w:p>
    <w:p>
      <w:pPr>
        <w:pStyle w:val="ListBullet"/>
        <w:keepLines/>
        <w:spacing w:after="60" w:line="264" w:lineRule="auto"/>
      </w:pPr>
      <w:r>
        <w:t>Review individual support and evacuation arrangements whenever needs change.</w:t>
      </w:r>
    </w:p>
    <w:p>
      <w:pPr>
        <w:pStyle w:val="Heading1"/>
        <w:keepNext/>
      </w:pPr>
      <w:r>
        <w:t>Emergency and Incident Arrangements</w:t>
      </w:r>
    </w:p>
    <w:p>
      <w:pPr>
        <w:pStyle w:val="ListBullet"/>
        <w:keepLines/>
        <w:spacing w:after="60" w:line="264" w:lineRule="auto"/>
      </w:pPr>
      <w:r>
        <w:t>Protect life, stop the activity and provide first aid within competence.</w:t>
      </w:r>
    </w:p>
    <w:p>
      <w:pPr>
        <w:pStyle w:val="ListBullet"/>
        <w:keepLines/>
        <w:spacing w:after="60" w:line="264" w:lineRule="auto"/>
      </w:pPr>
      <w:r>
        <w:t>Call 999 without delay for a serious or life-threatening emergency.</w:t>
      </w:r>
    </w:p>
    <w:p>
      <w:pPr>
        <w:pStyle w:val="ListBullet"/>
        <w:keepLines/>
        <w:spacing w:after="60" w:line="264" w:lineRule="auto"/>
      </w:pPr>
      <w:r>
        <w:t>Account for all young people and maintain safe supervision.</w:t>
      </w:r>
    </w:p>
    <w:p>
      <w:pPr>
        <w:pStyle w:val="ListBullet"/>
        <w:keepLines/>
        <w:spacing w:after="60" w:line="264" w:lineRule="auto"/>
      </w:pPr>
      <w:r>
        <w:t>Notify the Head of Provision or ReConnect emergency contact as soon as practicable.</w:t>
      </w:r>
    </w:p>
    <w:p>
      <w:pPr>
        <w:pStyle w:val="ListBullet"/>
        <w:keepLines/>
        <w:spacing w:after="60" w:line="264" w:lineRule="auto"/>
      </w:pPr>
      <w:r>
        <w:t>Record accidents, incidents, near misses and safeguarding concerns under ReConnect procedures; consider RIDDOR where applicable.</w:t>
      </w:r>
    </w:p>
    <w:p>
      <w:r>
        <w:rPr>
          <w:rFonts w:ascii="Arial" w:hAnsi="Arial"/>
          <w:color w:val="000000"/>
        </w:rPr>
        <w:t>For fire or another evacuation, staff follow the site emergency plan, move to the designated assembly point and account for young people, staff and visitors. Lockdown arrangements are addressed in the separate Lockdown Policy and site plan.</w:t>
      </w:r>
    </w:p>
    <w:p>
      <w:pPr>
        <w:pStyle w:val="Heading1"/>
        <w:keepNext/>
      </w:pPr>
      <w:r>
        <w:t>Dynamic Assessment, Monitoring and Review</w:t>
      </w:r>
    </w:p>
    <w:p>
      <w:r>
        <w:rPr>
          <w:rFonts w:ascii="Arial" w:hAnsi="Arial"/>
          <w:color w:val="000000"/>
        </w:rPr>
        <w:t>The lead member of staff will dynamically assess conditions, participant presentation, staffing, equipment and environmental change throughout the activity. Staff have authority to pause, modify or stop the activity immediately if controls are not effective or risk increases.</w:t>
      </w:r>
    </w:p>
    <w:p>
      <w:r>
        <w:rPr>
          <w:rFonts w:ascii="Arial" w:hAnsi="Arial"/>
          <w:color w:val="000000"/>
        </w:rPr>
        <w:t>This assessment will be reviewed at least annually and sooner following a significant incident, near miss, change in activity, equipment, venue, participant needs, staffing, law or guidance. Relevant learning will be recorded and controls updated.</w:t>
      </w:r>
    </w:p>
    <w:sectPr w:rsidR="00FC693F" w:rsidRPr="0006063C" w:rsidSect="00034616">
      <w:headerReference w:type="default" r:id="rId9"/>
      <w:footerReference w:type="default" r:id="rId10"/>
      <w:pgSz w:w="11909" w:h="16834"/>
      <w:pgMar w:top="691" w:right="576" w:bottom="691" w:left="576" w:header="288"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88"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00" w:line="240" w:lineRule="auto"/>
      <w:outlineLvl w:val="0"/>
    </w:pPr>
    <w:rPr>
      <w:rFonts w:asciiTheme="majorHAnsi" w:eastAsiaTheme="majorEastAsia" w:hAnsiTheme="majorHAnsi" w:cstheme="majorBidi" w:ascii="Arial" w:hAnsi="Arial"/>
      <w:b/>
      <w:bCs/>
      <w:color w:val="000000"/>
      <w:sz w:val="23"/>
      <w:szCs w:val="28"/>
    </w:rPr>
  </w:style>
  <w:style w:type="paragraph" w:styleId="Heading2">
    <w:name w:val="heading 2"/>
    <w:basedOn w:val="Normal"/>
    <w:next w:val="Normal"/>
    <w:link w:val="Heading2Char"/>
    <w:uiPriority w:val="9"/>
    <w:unhideWhenUsed/>
    <w:qFormat/>
    <w:rsid w:val="00FC693F"/>
    <w:pPr>
      <w:keepNext/>
      <w:keepLines/>
      <w:spacing w:before="200" w:after="60" w:line="240" w:lineRule="auto"/>
      <w:outlineLvl w:val="1"/>
    </w:pPr>
    <w:rPr>
      <w:rFonts w:asciiTheme="majorHAnsi" w:eastAsiaTheme="majorEastAsia" w:hAnsiTheme="majorHAnsi" w:cstheme="majorBidi" w:ascii="Arial" w:hAnsi="Arial"/>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rial" w:hAnsi="Arial"/>
      <w:color w:val="000000"/>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ReConnect Programme - Thurston Park Site Risk Assessment</dc:title>
  <dc:subject/>
  <dc:creator>The ReConnect Programme</dc:creator>
  <cp:keywords/>
  <dc:description>generated by python-docx</dc:description>
  <cp:lastModifiedBy/>
  <cp:revision>1</cp:revision>
  <dcterms:created xsi:type="dcterms:W3CDTF">2013-12-23T23:15:00Z</dcterms:created>
  <dcterms:modified xsi:type="dcterms:W3CDTF">2013-12-23T23:15:00Z</dcterms:modified>
  <cp:category/>
</cp:coreProperties>
</file>