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after="220"/>
      </w:pPr>
      <w:r>
        <w:rPr>
          <w:rFonts w:ascii="Arial" w:hAnsi="Arial"/>
          <w:b/>
          <w:color w:val="000000"/>
          <w:sz w:val="30"/>
        </w:rPr>
        <w:t>The ReConnect Programme - Martial Arts Training Risk Assessment</w:t>
      </w:r>
    </w:p>
    <w:p>
      <w:pPr>
        <w:tabs>
          <w:tab w:pos="2520" w:val="left"/>
        </w:tabs>
        <w:spacing w:after="20" w:line="240" w:lineRule="auto"/>
        <w:ind w:left="115"/>
      </w:pPr>
      <w:r>
        <w:rPr>
          <w:rFonts w:ascii="Arial" w:hAnsi="Arial"/>
          <w:b/>
          <w:color w:val="000000"/>
          <w:sz w:val="19"/>
        </w:rPr>
        <w:t>OWNERSHIP:</w:t>
      </w:r>
      <w:r>
        <w:rPr>
          <w:rFonts w:ascii="Arial" w:hAnsi="Arial"/>
          <w:color w:val="000000"/>
          <w:sz w:val="19"/>
        </w:rPr>
        <w:tab/>
        <w:t>The ReConnect Programme</w:t>
      </w:r>
    </w:p>
    <w:p>
      <w:pPr>
        <w:tabs>
          <w:tab w:pos="2520" w:val="left"/>
        </w:tabs>
        <w:spacing w:after="20" w:line="240" w:lineRule="auto"/>
        <w:ind w:left="115"/>
      </w:pPr>
      <w:r>
        <w:rPr>
          <w:rFonts w:ascii="Arial" w:hAnsi="Arial"/>
          <w:b/>
          <w:color w:val="000000"/>
          <w:sz w:val="19"/>
        </w:rPr>
        <w:t>ACTIVITY / SITE:</w:t>
      </w:r>
      <w:r>
        <w:rPr>
          <w:rFonts w:ascii="Arial" w:hAnsi="Arial"/>
          <w:color w:val="000000"/>
          <w:sz w:val="19"/>
        </w:rPr>
        <w:tab/>
        <w:t>Boxing, kickboxing, karate, jujitsu, MMA foundations and self-defence</w:t>
      </w:r>
    </w:p>
    <w:p>
      <w:pPr>
        <w:tabs>
          <w:tab w:pos="2520" w:val="left"/>
        </w:tabs>
        <w:spacing w:after="20" w:line="240" w:lineRule="auto"/>
        <w:ind w:left="115"/>
      </w:pPr>
      <w:r>
        <w:rPr>
          <w:rFonts w:ascii="Arial" w:hAnsi="Arial"/>
          <w:b/>
          <w:color w:val="000000"/>
          <w:sz w:val="19"/>
        </w:rPr>
        <w:t>LOCATION:</w:t>
      </w:r>
      <w:r>
        <w:rPr>
          <w:rFonts w:ascii="Arial" w:hAnsi="Arial"/>
          <w:color w:val="000000"/>
          <w:sz w:val="19"/>
        </w:rPr>
        <w:tab/>
        <w:t>ReConnect studio, Blue Wave Martial Arts and approved facilities</w:t>
      </w:r>
    </w:p>
    <w:p>
      <w:pPr>
        <w:tabs>
          <w:tab w:pos="2520" w:val="left"/>
        </w:tabs>
        <w:spacing w:after="20" w:line="240" w:lineRule="auto"/>
        <w:ind w:left="115"/>
      </w:pPr>
      <w:r>
        <w:rPr>
          <w:rFonts w:ascii="Arial" w:hAnsi="Arial"/>
          <w:b/>
          <w:color w:val="000000"/>
          <w:sz w:val="19"/>
        </w:rPr>
        <w:t>ASSESSOR:</w:t>
      </w:r>
      <w:r>
        <w:rPr>
          <w:rFonts w:ascii="Arial" w:hAnsi="Arial"/>
          <w:color w:val="000000"/>
          <w:sz w:val="19"/>
        </w:rPr>
        <w:tab/>
        <w:t>Chris Sodey / Qualified Instructor</w:t>
      </w:r>
    </w:p>
    <w:p>
      <w:pPr>
        <w:tabs>
          <w:tab w:pos="2520" w:val="left"/>
        </w:tabs>
        <w:spacing w:after="20" w:line="240" w:lineRule="auto"/>
        <w:ind w:left="115"/>
      </w:pPr>
      <w:r>
        <w:rPr>
          <w:rFonts w:ascii="Arial" w:hAnsi="Arial"/>
          <w:b/>
          <w:color w:val="000000"/>
          <w:sz w:val="19"/>
        </w:rPr>
        <w:t>DATE REVIEWED:</w:t>
      </w:r>
      <w:r>
        <w:rPr>
          <w:rFonts w:ascii="Arial" w:hAnsi="Arial"/>
          <w:color w:val="000000"/>
          <w:sz w:val="19"/>
        </w:rPr>
        <w:tab/>
        <w:t>September 2026</w:t>
      </w:r>
    </w:p>
    <w:p>
      <w:pPr>
        <w:tabs>
          <w:tab w:pos="2520" w:val="left"/>
        </w:tabs>
        <w:spacing w:after="20" w:line="240" w:lineRule="auto"/>
        <w:ind w:left="115"/>
      </w:pPr>
      <w:r>
        <w:rPr>
          <w:rFonts w:ascii="Arial" w:hAnsi="Arial"/>
          <w:b/>
          <w:color w:val="000000"/>
          <w:sz w:val="19"/>
        </w:rPr>
        <w:t>AUTHORISED BY:</w:t>
      </w:r>
      <w:r>
        <w:rPr>
          <w:rFonts w:ascii="Arial" w:hAnsi="Arial"/>
          <w:color w:val="000000"/>
          <w:sz w:val="19"/>
        </w:rPr>
        <w:tab/>
        <w:t>Chief Operating Officer</w:t>
      </w:r>
    </w:p>
    <w:p>
      <w:pPr>
        <w:tabs>
          <w:tab w:pos="2520" w:val="left"/>
        </w:tabs>
        <w:spacing w:after="20" w:line="240" w:lineRule="auto"/>
        <w:ind w:left="115"/>
      </w:pPr>
      <w:r>
        <w:rPr>
          <w:rFonts w:ascii="Arial" w:hAnsi="Arial"/>
          <w:b/>
          <w:color w:val="000000"/>
          <w:sz w:val="19"/>
        </w:rPr>
        <w:t>NEXT REVIEW:</w:t>
      </w:r>
      <w:r>
        <w:rPr>
          <w:rFonts w:ascii="Arial" w:hAnsi="Arial"/>
          <w:color w:val="000000"/>
          <w:sz w:val="19"/>
        </w:rPr>
        <w:tab/>
        <w:t>September 2027</w:t>
      </w:r>
    </w:p>
    <w:p>
      <w:pPr>
        <w:spacing w:after="280"/>
        <w:pBdr>
          <w:bottom w:val="single" w:sz="8" w:space="1" w:color="000000"/>
        </w:pBdr>
      </w:pPr>
    </w:p>
    <w:p>
      <w:pPr>
        <w:pStyle w:val="Heading1"/>
        <w:keepNext/>
      </w:pPr>
      <w:r>
        <w:t>Purpose and Scope</w:t>
      </w:r>
    </w:p>
    <w:p>
      <w:r>
        <w:rPr>
          <w:rFonts w:ascii="Arial" w:hAnsi="Arial"/>
          <w:color w:val="000000"/>
        </w:rPr>
        <w:t>This assessment covers supervised martial arts sessions within ReConnect's physical and therapeutic programme, including warm-ups, fitness, technical drills, pad work, controlled contact and reflective cool-downs.</w:t>
      </w:r>
    </w:p>
    <w:p>
      <w:r>
        <w:rPr>
          <w:rFonts w:ascii="Arial" w:hAnsi="Arial"/>
          <w:color w:val="000000"/>
        </w:rPr>
        <w:t>Sessions may be one-to-one or small-group and must be led by a suitably competent instructor. Activities are adapted to the young person's ability, medical information, SEND, SEMH needs and emotional presentation.</w:t>
      </w:r>
    </w:p>
    <w:p>
      <w:pPr>
        <w:pStyle w:val="Heading1"/>
        <w:keepNext/>
      </w:pPr>
      <w:r>
        <w:t>Persons at Risk</w:t>
      </w:r>
    </w:p>
    <w:p>
      <w:pPr>
        <w:pStyle w:val="ListBullet"/>
        <w:keepLines/>
        <w:spacing w:after="60" w:line="264" w:lineRule="auto"/>
      </w:pPr>
      <w:r>
        <w:t>Young people and participants</w:t>
      </w:r>
    </w:p>
    <w:p>
      <w:pPr>
        <w:pStyle w:val="ListBullet"/>
        <w:keepLines/>
        <w:spacing w:after="60" w:line="264" w:lineRule="auto"/>
      </w:pPr>
      <w:r>
        <w:t>Staff, instructors and coaches</w:t>
      </w:r>
    </w:p>
    <w:p>
      <w:pPr>
        <w:pStyle w:val="ListBullet"/>
        <w:keepLines/>
        <w:spacing w:after="60" w:line="264" w:lineRule="auto"/>
      </w:pPr>
      <w:r>
        <w:t>Visitors and observers</w:t>
      </w:r>
    </w:p>
    <w:p>
      <w:pPr>
        <w:pStyle w:val="Heading1"/>
        <w:keepNext/>
      </w:pPr>
      <w:r>
        <w:t>Risk Rating</w:t>
      </w:r>
    </w:p>
    <w:p>
      <w:r>
        <w:rPr>
          <w:rFonts w:ascii="Arial" w:hAnsi="Arial"/>
          <w:color w:val="000000"/>
        </w:rPr>
        <w:t>Residual ratings show the level of risk remaining when all controls are applied. Low: acceptable with controls maintained. Medium: activity may proceed only with active monitoring and any stated additional action. High: activity must not proceed until the risk is reduced and authorised.</w:t>
      </w:r>
    </w:p>
    <w:p>
      <w:pPr>
        <w:pStyle w:val="Heading1"/>
        <w:keepNext/>
        <w:pageBreakBefore/>
      </w:pPr>
      <w:r>
        <w:t>Risk Assessment</w:t>
      </w:r>
    </w:p>
    <w:tbl>
      <w:tblPr>
        <w:tblStyle w:val="TableGrid"/>
        <w:tblW w:type="dxa" w:w="9360"/>
        <w:jc w:val="left"/>
        <w:tblLayout w:type="fixed"/>
        <w:tblLook w:firstColumn="1" w:firstRow="1" w:lastColumn="0" w:lastRow="0" w:noHBand="0" w:noVBand="1" w:val="04A0"/>
        <w:tblInd w:w="100" w:type="dxa"/>
      </w:tblPr>
      <w:tblGrid>
        <w:gridCol w:w="2200"/>
        <w:gridCol w:w="1200"/>
        <w:gridCol w:w="4900"/>
        <w:gridCol w:w="1060"/>
      </w:tblGrid>
      <w:tr>
        <w:trPr>
          <w:tblHeader w:val="true"/>
          <w:cantSplit/>
        </w:trPr>
        <w:tc>
          <w:tcPr>
            <w:tcW w:type="dxa" w:w="2200"/>
            <w:tcMar>
              <w:top w:w="70" w:type="dxa"/>
              <w:start w:w="100" w:type="dxa"/>
              <w:bottom w:w="70" w:type="dxa"/>
              <w:end w:w="100" w:type="dxa"/>
            </w:tcMar>
            <w:vAlign w:val="top"/>
          </w:tcPr>
          <w:p>
            <w:pPr>
              <w:spacing w:after="20" w:line="240" w:lineRule="auto"/>
            </w:pPr>
            <w:r>
              <w:rPr>
                <w:rFonts w:ascii="Arial" w:hAnsi="Arial"/>
                <w:b/>
                <w:color w:val="000000"/>
                <w:sz w:val="16"/>
              </w:rPr>
              <w:t>Hazard and potential harm</w:t>
            </w:r>
          </w:p>
        </w:tc>
        <w:tc>
          <w:tcPr>
            <w:tcW w:type="dxa" w:w="1200"/>
            <w:tcMar>
              <w:top w:w="70" w:type="dxa"/>
              <w:start w:w="100" w:type="dxa"/>
              <w:bottom w:w="70" w:type="dxa"/>
              <w:end w:w="100" w:type="dxa"/>
            </w:tcMar>
            <w:vAlign w:val="top"/>
          </w:tcPr>
          <w:p>
            <w:pPr>
              <w:spacing w:after="20" w:line="240" w:lineRule="auto"/>
            </w:pPr>
            <w:r>
              <w:rPr>
                <w:rFonts w:ascii="Arial" w:hAnsi="Arial"/>
                <w:b/>
                <w:color w:val="000000"/>
                <w:sz w:val="16"/>
              </w:rPr>
              <w:t>Who may be harmed</w:t>
            </w:r>
          </w:p>
        </w:tc>
        <w:tc>
          <w:tcPr>
            <w:tcW w:type="dxa" w:w="4900"/>
            <w:tcMar>
              <w:top w:w="70" w:type="dxa"/>
              <w:start w:w="100" w:type="dxa"/>
              <w:bottom w:w="70" w:type="dxa"/>
              <w:end w:w="100" w:type="dxa"/>
            </w:tcMar>
            <w:vAlign w:val="top"/>
          </w:tcPr>
          <w:p>
            <w:pPr>
              <w:spacing w:after="20" w:line="240" w:lineRule="auto"/>
            </w:pPr>
            <w:r>
              <w:rPr>
                <w:rFonts w:ascii="Arial" w:hAnsi="Arial"/>
                <w:b/>
                <w:color w:val="000000"/>
                <w:sz w:val="16"/>
              </w:rPr>
              <w:t>Control measures and further action</w:t>
            </w:r>
          </w:p>
        </w:tc>
        <w:tc>
          <w:tcPr>
            <w:tcW w:type="dxa" w:w="1060"/>
            <w:tcMar>
              <w:top w:w="70" w:type="dxa"/>
              <w:start w:w="100" w:type="dxa"/>
              <w:bottom w:w="70" w:type="dxa"/>
              <w:end w:w="100" w:type="dxa"/>
            </w:tcMar>
            <w:vAlign w:val="top"/>
          </w:tcPr>
          <w:p>
            <w:pPr>
              <w:spacing w:after="20" w:line="240" w:lineRule="auto"/>
            </w:pPr>
            <w:r>
              <w:rPr>
                <w:rFonts w:ascii="Arial" w:hAnsi="Arial"/>
                <w:b/>
                <w:color w:val="000000"/>
                <w:sz w:val="16"/>
              </w:rPr>
              <w:t>Residual risk</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Contact during drills or sparring</w:t>
              <w:br/>
              <w:t>Bruising, sprain, cut, head or joint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Controlled contact only within the instructor's competence and session plan. Technique established before contact. Clear stop command, matched partners and appropriate gloves, guards and other PPE. No unsupervised sparring. Intensity reviewed continuously. Suspected concussion means immediate removal and medical assessment.</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Slips, trips and falls</w:t>
              <w:br/>
              <w:t>Impact injury, ankle injury or head bump</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Mats correctly fitted and secured; floor and training area checked before use. Clutter removed. Correct footwear or agreed barefoot practice. Warm-up, balance and safe-falling skills taught where appropriate.</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Overexertion or dehydration</w:t>
              <w:br/>
              <w:t>Fatigue, dizziness or fainting</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Progressive warm-up and cool-down. Hydration and rest breaks. Intensity matched to fitness and presentation. Instructor monitors breathing, colour, coordination and distress. Session stopped for concerning symptoms.</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Damaged or unsuitable equipment</w:t>
              <w:br/>
              <w:t>Hand, wrist, joint or impact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Gloves, pads, bags, mats and fixings checked before use and maintained. Correct sizes used. Faulty items isolated. Cleaning and storage procedure followed. Inspection record maintained.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Poor technique or instruction</w:t>
              <w:br/>
              <w:t>Strain or repetitive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Qualified competent instructor. Skills taught progressively with demonstration, correction and suitable repetition. No complex or high-impact technique before prerequisite control. Coaching practice reviewed periodically.</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Dysregulation, frustration or misuse of techniques</w:t>
              <w:br/>
              <w:t>Harm to self or others</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staff</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Clear behavioural and ethical expectations. Trauma-informed instruction and de-escalation. Access to calm space and familiar support. Contact reduced or removed when presentation changes. Techniques are not practised outside instruction against others. Activity stopped before escalation.</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Medical condition triggered by activity</w:t>
              <w:br/>
              <w:t>Asthma, hypermobility pain, panic or physical distress</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Current medical and individual plan reviewed. Medication accessible. Pace, range and contact adapted. First-aid provision available. Staff recognise red flags and call 999 where required. Health information reviewed at least termly and after change.</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Safeguarding or inappropriate physical contact</w:t>
              <w:br/>
              <w:t>Emotional harm or boundary breach</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Safeguarding and Staff Code of Conduct apply. Contact has a clear instructional purpose, is explained and respects consent. Open training environment and appropriate supervision. Changing arrangements protect privacy and dignity. Concerns reported immediately to the DSL.</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Inadequate supervision</w:t>
              <w:br/>
              <w:t>Increased likelihood or severity of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Qualified instructor present throughout. Group size normally no more than six per competent instructor and reduced for need, contact level or unfamiliar activity. Individual allocations clear. No unsupervised equipment or contact activity.</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Sensory overload</w:t>
              <w:br/>
              <w:t>Distress, shutdown or unsafe withdrawal</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Participants with sensory needs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Predictable session structure, calm communication and reduced noise or proximity. Visual demonstration and permission to pause. Ear defenders may be used where essential instructions remain audible. Sensory needs recorded in the individual plan.</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Infection from shared equipment or mats</w:t>
              <w:br/>
              <w:t>Skin irritation or communicable illness</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Equipment and mats cleaned under schedule. Personal gloves encouraged where practicable. Cuts covered; contaminated equipment removed and cleaned. Hand hygiene and exclusion guidance followed. Cleaning log maintained.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Fire or evacuation</w:t>
              <w:br/>
              <w:t>Injury or separation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Exits and assembly arrangements known. Training area and routes kept clear. Instructor stops activity, accounts for participants and leads evacuation. Host-venue procedures followed.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bl>
    <w:p>
      <w:pPr>
        <w:pStyle w:val="Heading1"/>
        <w:keepNext/>
      </w:pPr>
      <w:r>
        <w:t>Staff Competence and Inclusion</w:t>
      </w:r>
    </w:p>
    <w:p>
      <w:r>
        <w:rPr>
          <w:rFonts w:ascii="Arial" w:hAnsi="Arial"/>
          <w:color w:val="000000"/>
        </w:rPr>
        <w:t>Instructors must hold suitable qualifications or evidenced competence for the discipline and contact level delivered. Required safeguarding checks and first-aid arrangements must be in place. Staff receive ongoing development in trauma-informed practice, behaviour support and de-escalation. Reasonable adjustments will support participation without compromising essential safety controls.</w:t>
      </w:r>
    </w:p>
    <w:p>
      <w:pPr>
        <w:pStyle w:val="Heading1"/>
        <w:keepNext/>
      </w:pPr>
      <w:r>
        <w:t>Emergency and Incident Arrangements</w:t>
      </w:r>
    </w:p>
    <w:p>
      <w:pPr>
        <w:pStyle w:val="ListBullet"/>
        <w:keepLines/>
        <w:spacing w:after="60" w:line="264" w:lineRule="auto"/>
      </w:pPr>
      <w:r>
        <w:t>Protect life, stop the activity and provide first aid within competence.</w:t>
      </w:r>
    </w:p>
    <w:p>
      <w:pPr>
        <w:pStyle w:val="ListBullet"/>
        <w:keepLines/>
        <w:spacing w:after="60" w:line="264" w:lineRule="auto"/>
      </w:pPr>
      <w:r>
        <w:t>Call 999 without delay for a serious or life-threatening emergency.</w:t>
      </w:r>
    </w:p>
    <w:p>
      <w:pPr>
        <w:pStyle w:val="ListBullet"/>
        <w:keepLines/>
        <w:spacing w:after="60" w:line="264" w:lineRule="auto"/>
      </w:pPr>
      <w:r>
        <w:t>Account for all young people and maintain safe supervision.</w:t>
      </w:r>
    </w:p>
    <w:p>
      <w:pPr>
        <w:pStyle w:val="ListBullet"/>
        <w:keepLines/>
        <w:spacing w:after="60" w:line="264" w:lineRule="auto"/>
      </w:pPr>
      <w:r>
        <w:t>Notify the Head of Provision or ReConnect emergency contact as soon as practicable.</w:t>
      </w:r>
    </w:p>
    <w:p>
      <w:pPr>
        <w:pStyle w:val="ListBullet"/>
        <w:keepLines/>
        <w:spacing w:after="60" w:line="264" w:lineRule="auto"/>
      </w:pPr>
      <w:r>
        <w:t>Record accidents, incidents, near misses and safeguarding concerns under ReConnect procedures; consider RIDDOR where applicable.</w:t>
      </w:r>
    </w:p>
    <w:p>
      <w:pPr>
        <w:pStyle w:val="Heading1"/>
        <w:keepNext/>
      </w:pPr>
      <w:r>
        <w:t>Dynamic Assessment, Monitoring and Review</w:t>
      </w:r>
    </w:p>
    <w:p>
      <w:r>
        <w:rPr>
          <w:rFonts w:ascii="Arial" w:hAnsi="Arial"/>
          <w:color w:val="000000"/>
        </w:rPr>
        <w:t>The lead member of staff will dynamically assess conditions, participant presentation, staffing, equipment and environmental change throughout the activity. Staff have authority to pause, modify or stop the activity immediately if controls are not effective or risk increases.</w:t>
      </w:r>
    </w:p>
    <w:p>
      <w:r>
        <w:rPr>
          <w:rFonts w:ascii="Arial" w:hAnsi="Arial"/>
          <w:color w:val="000000"/>
        </w:rPr>
        <w:t>This assessment will be reviewed at least annually and sooner following a significant incident, near miss, change in activity, equipment, venue, participant needs, staffing, law or guidance. Relevant learning will be recorded and controls updated.</w:t>
      </w:r>
    </w:p>
    <w:sectPr w:rsidR="00FC693F" w:rsidRPr="0006063C" w:rsidSect="00034616">
      <w:headerReference w:type="default" r:id="rId9"/>
      <w:footerReference w:type="default" r:id="rId10"/>
      <w:pgSz w:w="11909" w:h="16834"/>
      <w:pgMar w:top="691" w:right="576" w:bottom="691" w:left="57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line="240" w:lineRule="auto"/>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60" w:line="240" w:lineRule="auto"/>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ReConnect Programme - Martial Arts Training Risk Assessment</dc:title>
  <dc:subject/>
  <dc:creator>The ReConnect Programme</dc:creator>
  <cp:keywords/>
  <dc:description>generated by python-docx</dc:description>
  <cp:lastModifiedBy/>
  <cp:revision>1</cp:revision>
  <dcterms:created xsi:type="dcterms:W3CDTF">2013-12-23T23:15:00Z</dcterms:created>
  <dcterms:modified xsi:type="dcterms:W3CDTF">2013-12-23T23:15:00Z</dcterms:modified>
  <cp:category/>
</cp:coreProperties>
</file>