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280"/>
        <w:rPr/>
      </w:pPr>
      <w:bookmarkStart w:colFirst="0" w:colLast="0" w:name="_heading=h.jkukivjmxot2" w:id="0"/>
      <w:bookmarkEnd w:id="0"/>
      <w:r w:rsidDel="00000000" w:rsidR="00000000" w:rsidRPr="00000000">
        <w:rPr>
          <w:rtl w:val="0"/>
        </w:rPr>
        <w:t xml:space="preserve">The ReConnect Programme  – Equal Opportunities &amp; Diversity Policy</w:t>
      </w:r>
    </w:p>
    <w:p w:rsidR="00000000" w:rsidDel="00000000" w:rsidP="00000000" w:rsidRDefault="00000000" w:rsidRPr="00000000" w14:paraId="00000002">
      <w:pPr>
        <w:spacing w:before="10" w:lineRule="auto"/>
        <w:rPr>
          <w:b w:val="1"/>
          <w:bCs w:val="1"/>
          <w:sz w:val="11"/>
          <w:szCs w:val="11"/>
        </w:rPr>
      </w:pPr>
      <w:r w:rsidDel="00000000" w:rsidR="00000000" w:rsidRPr="00000000">
        <w:rPr>
          <w:rtl w:val="0"/>
        </w:rPr>
      </w:r>
    </w:p>
    <w:tbl>
      <w:tblPr>
        <w:tblStyle w:val="Table1"/>
        <w:tblW w:w="10773.0" w:type="dxa"/>
        <w:jc w:val="left"/>
        <w:tblInd w:w="141.0" w:type="dxa"/>
        <w:tblLayout w:type="fixed"/>
        <w:tblLook w:val="0000"/>
      </w:tblPr>
      <w:tblGrid>
        <w:gridCol w:w="2372"/>
        <w:gridCol w:w="8401"/>
        <w:tblGridChange w:id="0">
          <w:tblGrid>
            <w:gridCol w:w="2372"/>
            <w:gridCol w:w="8401"/>
          </w:tblGrid>
        </w:tblGridChange>
      </w:tblGrid>
      <w:tr>
        <w:trPr>
          <w:cantSplit w:val="0"/>
          <w:trHeight w:val="400" w:hRule="atLeast"/>
          <w:tblHeader w:val="0"/>
        </w:trPr>
        <w:tc>
          <w:tcPr>
            <w:tcBorders>
              <w:top w:color="000000" w:space="0" w:sz="4" w:val="single"/>
            </w:tcBorders>
          </w:tcPr>
          <w:p w:rsidR="00000000" w:rsidDel="00000000" w:rsidP="00000000" w:rsidRDefault="00000000" w:rsidRPr="00000000" w14:paraId="00000003">
            <w:pPr>
              <w:spacing w:before="72" w:lineRule="auto"/>
              <w:rPr>
                <w:b w:val="1"/>
                <w:bCs w:val="1"/>
              </w:rPr>
            </w:pPr>
            <w:r w:rsidDel="00000000" w:rsidR="00000000" w:rsidRPr="00000000">
              <w:rPr>
                <w:rtl w:val="0"/>
              </w:rPr>
            </w:r>
          </w:p>
        </w:tc>
        <w:tc>
          <w:tcPr>
            <w:tcBorders>
              <w:top w:color="000000" w:space="0" w:sz="4" w:val="single"/>
            </w:tcBorders>
          </w:tcPr>
          <w:p w:rsidR="00000000" w:rsidDel="00000000" w:rsidP="00000000" w:rsidRDefault="00000000" w:rsidRPr="00000000" w14:paraId="00000004">
            <w:pPr>
              <w:spacing w:before="72" w:lineRule="auto"/>
              <w:ind w:left="362" w:firstLine="0"/>
              <w:rPr/>
            </w:pPr>
            <w:r w:rsidDel="00000000" w:rsidR="00000000" w:rsidRPr="00000000">
              <w:rPr>
                <w:rtl w:val="0"/>
              </w:rPr>
            </w:r>
          </w:p>
        </w:tc>
      </w:tr>
      <w:tr>
        <w:trPr>
          <w:cantSplit w:val="0"/>
          <w:trHeight w:val="396" w:hRule="atLeast"/>
          <w:tblHeader w:val="0"/>
        </w:trPr>
        <w:tc>
          <w:tcPr/>
          <w:p w:rsidR="00000000" w:rsidDel="00000000" w:rsidP="00000000" w:rsidRDefault="00000000" w:rsidRPr="00000000" w14:paraId="00000005">
            <w:pPr>
              <w:spacing w:before="68" w:lineRule="auto"/>
              <w:ind w:left="114" w:firstLine="0"/>
              <w:rPr>
                <w:b w:val="1"/>
                <w:bCs w:val="1"/>
              </w:rPr>
            </w:pPr>
            <w:r w:rsidDel="00000000" w:rsidR="00000000" w:rsidRPr="00000000">
              <w:rPr>
                <w:b w:val="1"/>
                <w:bCs w:val="1"/>
                <w:rtl w:val="0"/>
              </w:rPr>
              <w:t xml:space="preserve">OWNERSHIP: </w:t>
            </w:r>
          </w:p>
        </w:tc>
        <w:tc>
          <w:tcPr/>
          <w:p w:rsidR="00000000" w:rsidDel="00000000" w:rsidP="00000000" w:rsidRDefault="00000000" w:rsidRPr="00000000" w14:paraId="00000006">
            <w:pPr>
              <w:spacing w:before="68" w:lineRule="auto"/>
              <w:ind w:left="362" w:firstLine="0"/>
              <w:rPr/>
            </w:pPr>
            <w:r w:rsidDel="00000000" w:rsidR="00000000" w:rsidRPr="00000000">
              <w:rPr>
                <w:rtl w:val="0"/>
              </w:rPr>
              <w:t xml:space="preserve">The ReConnect Programme</w:t>
            </w:r>
          </w:p>
        </w:tc>
      </w:tr>
      <w:tr>
        <w:trPr>
          <w:cantSplit w:val="0"/>
          <w:trHeight w:val="396" w:hRule="atLeast"/>
          <w:tblHeader w:val="0"/>
        </w:trPr>
        <w:tc>
          <w:tcPr/>
          <w:p w:rsidR="00000000" w:rsidDel="00000000" w:rsidP="00000000" w:rsidRDefault="00000000" w:rsidRPr="00000000" w14:paraId="00000007">
            <w:pPr>
              <w:spacing w:before="68" w:lineRule="auto"/>
              <w:ind w:left="114" w:firstLine="0"/>
              <w:rPr>
                <w:b w:val="1"/>
                <w:bCs w:val="1"/>
              </w:rPr>
            </w:pPr>
            <w:r w:rsidDel="00000000" w:rsidR="00000000" w:rsidRPr="00000000">
              <w:rPr>
                <w:b w:val="1"/>
                <w:bCs w:val="1"/>
                <w:rtl w:val="0"/>
              </w:rPr>
              <w:t xml:space="preserve">AUTHORISED BY:</w:t>
            </w:r>
          </w:p>
        </w:tc>
        <w:tc>
          <w:tcPr/>
          <w:p w:rsidR="00000000" w:rsidDel="00000000" w:rsidP="00000000" w:rsidRDefault="00000000" w:rsidRPr="00000000" w14:paraId="00000008">
            <w:pPr>
              <w:spacing w:before="68" w:lineRule="auto"/>
              <w:rPr/>
            </w:pPr>
            <w:r w:rsidDel="00000000" w:rsidR="00000000" w:rsidRPr="00000000">
              <w:rPr>
                <w:rtl w:val="0"/>
              </w:rPr>
              <w:t xml:space="preserve">      Chief Operating Officer</w:t>
            </w:r>
          </w:p>
        </w:tc>
      </w:tr>
      <w:tr>
        <w:trPr>
          <w:cantSplit w:val="0"/>
          <w:trHeight w:val="397" w:hRule="atLeast"/>
          <w:tblHeader w:val="0"/>
        </w:trPr>
        <w:tc>
          <w:tcPr>
            <w:tcBorders>
              <w:bottom w:color="000000" w:space="0" w:sz="4" w:val="single"/>
            </w:tcBorders>
          </w:tcPr>
          <w:p w:rsidR="00000000" w:rsidDel="00000000" w:rsidP="00000000" w:rsidRDefault="00000000" w:rsidRPr="00000000" w14:paraId="00000009">
            <w:pPr>
              <w:spacing w:before="68" w:lineRule="auto"/>
              <w:ind w:left="114" w:firstLine="0"/>
              <w:rPr>
                <w:b w:val="1"/>
                <w:bCs w:val="1"/>
              </w:rPr>
            </w:pPr>
            <w:r w:rsidDel="00000000" w:rsidR="00000000" w:rsidRPr="00000000">
              <w:rPr>
                <w:b w:val="1"/>
                <w:bCs w:val="1"/>
                <w:rtl w:val="0"/>
              </w:rPr>
              <w:t xml:space="preserve">REVIEW:</w:t>
            </w:r>
          </w:p>
        </w:tc>
        <w:tc>
          <w:tcPr>
            <w:tcBorders>
              <w:bottom w:color="000000" w:space="0" w:sz="4" w:val="single"/>
            </w:tcBorders>
          </w:tcPr>
          <w:p w:rsidR="00000000" w:rsidDel="00000000" w:rsidP="00000000" w:rsidRDefault="00000000" w:rsidRPr="00000000" w14:paraId="0000000A">
            <w:pPr>
              <w:spacing w:before="68" w:lineRule="auto"/>
              <w:ind w:left="362" w:firstLine="0"/>
              <w:rPr/>
            </w:pPr>
            <w:r w:rsidDel="00000000" w:rsidR="00000000" w:rsidRPr="00000000">
              <w:rPr>
                <w:rtl w:val="0"/>
              </w:rPr>
              <w:t xml:space="preserve">August 2027</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to7cdldqrb8k" w:id="1"/>
      <w:bookmarkEnd w:id="1"/>
      <w:r w:rsidDel="00000000" w:rsidR="00000000" w:rsidRPr="00000000">
        <w:rPr>
          <w:rtl w:val="0"/>
        </w:rPr>
        <w:t xml:space="preserve">Purpose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This policy confirms The ReConnect Programme's commitment to equality of opportunity, dignity, inclusion and fair treatment. It explains how we prevent unlawful discrimination, remove avoidable barriers, make reasonable adjustments and respond to concerns in our work with young people, families, staff, applicants, contractors, commissioners and visitors.</w:t>
      </w:r>
    </w:p>
    <w:p w:rsidR="00000000" w:rsidDel="00000000" w:rsidP="00000000" w:rsidRDefault="00000000" w:rsidRPr="00000000" w14:paraId="0000000E">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3nuar25txme4" w:id="2"/>
      <w:bookmarkEnd w:id="2"/>
      <w:r w:rsidDel="00000000" w:rsidR="00000000" w:rsidRPr="00000000">
        <w:rPr>
          <w:rtl w:val="0"/>
        </w:rPr>
        <w:t xml:space="preserve">Scope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This policy applies to all employees, workers, applicants, agency staff, facilitators, volunteers, contractors, directors and anyone acting on behalf of ReConnect. It also applies to young people who attend or seek to attend the provision, their parents and carers, visitors, partner organisations and service users.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It applies to recruitment, selection, pay, terms, training, promotion, performance management, discipline, grievance, dismissal and all other aspects of work. It also applies to referrals, placement planning, curriculum and activity access, assessment, support, communication, trips, facilities, events and the ending of placements.</w:t>
      </w:r>
    </w:p>
    <w:p w:rsidR="00000000" w:rsidDel="00000000" w:rsidP="00000000" w:rsidRDefault="00000000" w:rsidRPr="00000000" w14:paraId="00000011">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xcu9uc2afqbv" w:id="3"/>
      <w:bookmarkEnd w:id="3"/>
      <w:r w:rsidDel="00000000" w:rsidR="00000000" w:rsidRPr="00000000">
        <w:rPr>
          <w:rtl w:val="0"/>
        </w:rPr>
        <w:t xml:space="preserve">Policy Context</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AP context (non-school AP): The ReConnect Programme operates as a non-school Alternative Provision (AP). We work with young people whose education may have been disrupted and who may have SEND, SEMH needs, disabilities, health needs, experience of trauma or other vulnerabilities. Equality must therefore be embedded in referral decisions, placement design, relationships, curriculum access, reasonable adjustments, safeguarding and preparation for adulthood.</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The commissioning school, local authority or other responsible body retains its own statutory equality, education and SEND duties. ReConnect will provide evidence, communicate barriers and cooperate with reasonable adjustments and reviews, but our involvement does not transfer or replace the commissioner's legal responsibilities.</w:t>
      </w:r>
    </w:p>
    <w:p w:rsidR="00000000" w:rsidDel="00000000" w:rsidP="00000000" w:rsidRDefault="00000000" w:rsidRPr="00000000" w14:paraId="00000014">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ae8ryhz7vfy9" w:id="4"/>
      <w:bookmarkEnd w:id="4"/>
      <w:r w:rsidDel="00000000" w:rsidR="00000000" w:rsidRPr="00000000">
        <w:rPr>
          <w:rtl w:val="0"/>
        </w:rPr>
        <w:t xml:space="preserve">Policy Statement</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ReConnect will not unlawfully discriminate against, harass or victimise any person. Decisions will be based on relevant evidence, individual need, competence, safety and legitimate organisational requirements. Stereotypes, assumptions, personal prejudice and irrelevant personal information must not influence decisions.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Equality of opportunity does not always mean treating everyone identically. Fair treatment may require different support, accessible communication, positive action or reasonable adjustments so that people can participate and demonstrate their strengths without substantial disadvantage.</w:t>
      </w:r>
    </w:p>
    <w:p w:rsidR="00000000" w:rsidDel="00000000" w:rsidP="00000000" w:rsidRDefault="00000000" w:rsidRPr="00000000" w14:paraId="00000017">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kmrk67r8j3ku" w:id="5"/>
      <w:bookmarkEnd w:id="5"/>
      <w:r w:rsidDel="00000000" w:rsidR="00000000" w:rsidRPr="00000000">
        <w:rPr>
          <w:rtl w:val="0"/>
        </w:rPr>
        <w:t xml:space="preserve">POLICY</w:t>
      </w:r>
    </w:p>
    <w:p w:rsidR="00000000" w:rsidDel="00000000" w:rsidP="00000000" w:rsidRDefault="00000000" w:rsidRPr="00000000" w14:paraId="00000018">
      <w:pPr>
        <w:pStyle w:val="Heading2"/>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rl99qbo38v1u" w:id="6"/>
      <w:bookmarkEnd w:id="6"/>
      <w:r w:rsidDel="00000000" w:rsidR="00000000" w:rsidRPr="00000000">
        <w:rPr>
          <w:rtl w:val="0"/>
        </w:rPr>
        <w:t xml:space="preserve">Legal Framework</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This policy is informed by the Equality Act 2010 and associated statutory codes and guidance. ReConnect will also consider relevant duties under employment, education, safeguarding, SEND, data protection and human rights law. Where the law or statutory guidance changes, the current requirement takes precedence over this policy.</w:t>
      </w:r>
    </w:p>
    <w:p w:rsidR="00000000" w:rsidDel="00000000" w:rsidP="00000000" w:rsidRDefault="00000000" w:rsidRPr="00000000" w14:paraId="0000001A">
      <w:pPr>
        <w:pStyle w:val="Heading2"/>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mig5m94a54ka" w:id="7"/>
      <w:bookmarkEnd w:id="7"/>
      <w:r w:rsidDel="00000000" w:rsidR="00000000" w:rsidRPr="00000000">
        <w:rPr>
          <w:rtl w:val="0"/>
        </w:rPr>
        <w:t xml:space="preserve">Protected Characteristics</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The Equality Act 2010 protects people from discrimination because of the following characteristics:</w:t>
      </w:r>
    </w:p>
    <w:p w:rsidR="00000000" w:rsidDel="00000000" w:rsidP="00000000" w:rsidRDefault="00000000" w:rsidRPr="00000000" w14:paraId="0000001C">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age</w:t>
      </w:r>
    </w:p>
    <w:p w:rsidR="00000000" w:rsidDel="00000000" w:rsidP="00000000" w:rsidRDefault="00000000" w:rsidRPr="00000000" w14:paraId="0000001D">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disability</w:t>
      </w:r>
    </w:p>
    <w:p w:rsidR="00000000" w:rsidDel="00000000" w:rsidP="00000000" w:rsidRDefault="00000000" w:rsidRPr="00000000" w14:paraId="0000001E">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gender reassignment</w:t>
      </w:r>
    </w:p>
    <w:p w:rsidR="00000000" w:rsidDel="00000000" w:rsidP="00000000" w:rsidRDefault="00000000" w:rsidRPr="00000000" w14:paraId="0000001F">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marriage and civil partnership</w:t>
      </w:r>
    </w:p>
    <w:p w:rsidR="00000000" w:rsidDel="00000000" w:rsidP="00000000" w:rsidRDefault="00000000" w:rsidRPr="00000000" w14:paraId="00000020">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pregnancy and maternity</w:t>
      </w:r>
    </w:p>
    <w:p w:rsidR="00000000" w:rsidDel="00000000" w:rsidP="00000000" w:rsidRDefault="00000000" w:rsidRPr="00000000" w14:paraId="00000021">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race, including colour, nationality, ethnic or national origin</w:t>
      </w:r>
    </w:p>
    <w:p w:rsidR="00000000" w:rsidDel="00000000" w:rsidP="00000000" w:rsidRDefault="00000000" w:rsidRPr="00000000" w14:paraId="00000022">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religion or belief, including lack of religion or belief</w:t>
      </w:r>
    </w:p>
    <w:p w:rsidR="00000000" w:rsidDel="00000000" w:rsidP="00000000" w:rsidRDefault="00000000" w:rsidRPr="00000000" w14:paraId="00000023">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sex</w:t>
      </w:r>
    </w:p>
    <w:p w:rsidR="00000000" w:rsidDel="00000000" w:rsidP="00000000" w:rsidRDefault="00000000" w:rsidRPr="00000000" w14:paraId="00000024">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sexual orientation</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Protection can apply where a person has a characteristic, is perceived to have it, or is associated with someone who has it. The precise legal protection varies by context. For example, marriage and civil partnership protection is primarily relevant to employment, while age discrimination rules contain specific exceptions.</w:t>
      </w:r>
    </w:p>
    <w:p w:rsidR="00000000" w:rsidDel="00000000" w:rsidP="00000000" w:rsidRDefault="00000000" w:rsidRPr="00000000" w14:paraId="00000026">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yk3e1yug6lav" w:id="8"/>
      <w:bookmarkEnd w:id="8"/>
      <w:r w:rsidDel="00000000" w:rsidR="00000000" w:rsidRPr="00000000">
        <w:rPr>
          <w:rtl w:val="0"/>
        </w:rPr>
        <w:t xml:space="preserve">Forms of Unlawful Discrimination</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7260"/>
        <w:tblGridChange w:id="0">
          <w:tblGrid>
            <w:gridCol w:w="2100"/>
            <w:gridCol w:w="7260"/>
          </w:tblGrid>
        </w:tblGridChange>
      </w:tblGrid>
      <w:tr>
        <w:trPr>
          <w:cantSplit w:val="0"/>
          <w:trHeight w:val="405" w:hRule="atLeast"/>
          <w:tblHeader w:val="0"/>
        </w:trPr>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rPr>
                <w:b w:val="1"/>
                <w:bCs w:val="1"/>
                <w:sz w:val="18"/>
                <w:szCs w:val="18"/>
              </w:rPr>
            </w:pPr>
            <w:r w:rsidDel="00000000" w:rsidR="00000000" w:rsidRPr="00000000">
              <w:rPr>
                <w:b w:val="1"/>
                <w:bCs w:val="1"/>
                <w:sz w:val="18"/>
                <w:szCs w:val="18"/>
                <w:rtl w:val="0"/>
              </w:rPr>
              <w:t xml:space="preserve">Form</w:t>
            </w:r>
          </w:p>
        </w:tc>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rPr>
                <w:b w:val="1"/>
                <w:bCs w:val="1"/>
                <w:sz w:val="18"/>
                <w:szCs w:val="18"/>
              </w:rPr>
            </w:pPr>
            <w:r w:rsidDel="00000000" w:rsidR="00000000" w:rsidRPr="00000000">
              <w:rPr>
                <w:b w:val="1"/>
                <w:bCs w:val="1"/>
                <w:sz w:val="18"/>
                <w:szCs w:val="18"/>
                <w:rtl w:val="0"/>
              </w:rPr>
              <w:t xml:space="preserve">Meaning</w:t>
            </w:r>
          </w:p>
        </w:tc>
      </w:tr>
      <w:tr>
        <w:trPr>
          <w:cantSplit w:val="0"/>
          <w:trHeight w:val="405" w:hRule="atLeast"/>
          <w:tblHeader w:val="0"/>
        </w:trPr>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Direct discrimination</w:t>
            </w:r>
          </w:p>
        </w:tc>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Treating someone less favourably because of a protected characteristic.</w:t>
            </w:r>
          </w:p>
        </w:tc>
      </w:tr>
      <w:tr>
        <w:trPr>
          <w:cantSplit w:val="0"/>
          <w:trHeight w:val="525" w:hRule="atLeast"/>
          <w:tblHeader w:val="0"/>
        </w:trPr>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Indirect discrimination</w:t>
            </w:r>
          </w:p>
        </w:tc>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Applying a rule or practice to everyone that disadvantages a protected group and cannot be objectively justified.</w:t>
            </w:r>
          </w:p>
        </w:tc>
      </w:tr>
      <w:tr>
        <w:trPr>
          <w:cantSplit w:val="0"/>
          <w:trHeight w:val="525" w:hRule="atLeast"/>
          <w:tblHeader w:val="0"/>
        </w:trPr>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Harassment</w:t>
            </w:r>
          </w:p>
        </w:tc>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Unwanted conduct related to a protected characteristic that violates dignity or creates an intimidating, hostile, degrading, humiliating or offensive environment.</w:t>
            </w:r>
          </w:p>
        </w:tc>
      </w:tr>
      <w:tr>
        <w:trPr>
          <w:cantSplit w:val="0"/>
          <w:trHeight w:val="405" w:hRule="atLeast"/>
          <w:tblHeader w:val="0"/>
        </w:trPr>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Sexual harassment</w:t>
            </w:r>
          </w:p>
        </w:tc>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Unwanted conduct of a sexual nature with the purpose or effect described above.</w:t>
            </w:r>
          </w:p>
        </w:tc>
      </w:tr>
      <w:tr>
        <w:trPr>
          <w:cantSplit w:val="0"/>
          <w:trHeight w:val="525" w:hRule="atLeast"/>
          <w:tblHeader w:val="0"/>
        </w:trPr>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Victimisation</w:t>
            </w:r>
          </w:p>
        </w:tc>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Subjecting someone to a detriment because they raised, supported or were believed likely to raise an equality concern.</w:t>
            </w:r>
          </w:p>
        </w:tc>
      </w:tr>
      <w:tr>
        <w:trPr>
          <w:cantSplit w:val="0"/>
          <w:trHeight w:val="525" w:hRule="atLeast"/>
          <w:tblHeader w:val="0"/>
        </w:trPr>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Failure to adjust</w:t>
            </w:r>
          </w:p>
        </w:tc>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Failing to take reasonable steps to avoid substantial disadvantage for a disabled person.</w:t>
            </w:r>
          </w:p>
        </w:tc>
      </w:tr>
      <w:tr>
        <w:trPr>
          <w:cantSplit w:val="0"/>
          <w:trHeight w:val="525" w:hRule="atLeast"/>
          <w:tblHeader w:val="0"/>
        </w:trPr>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Discrimination arising from disability</w:t>
            </w:r>
          </w:p>
        </w:tc>
        <w:tc>
          <w:tcPr>
            <w:tcBorders>
              <w:top w:color="000000" w:space="0" w:sz="3" w:val="single"/>
              <w:left w:color="000000" w:space="0" w:sz="3" w:val="single"/>
              <w:bottom w:color="000000" w:space="0" w:sz="3" w:val="single"/>
              <w:right w:color="000000" w:space="0" w:sz="3" w:val="single"/>
            </w:tcBorders>
            <w:tcMar>
              <w:top w:w="80.0" w:type="dxa"/>
              <w:left w:w="100.0" w:type="dxa"/>
              <w:bottom w:w="80.0" w:type="dxa"/>
              <w:right w:w="100.0" w:type="dxa"/>
            </w:tcMar>
            <w:vAlign w:val="center"/>
          </w:tcPr>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rPr>
                <w:sz w:val="18"/>
                <w:szCs w:val="18"/>
              </w:rPr>
            </w:pPr>
            <w:r w:rsidDel="00000000" w:rsidR="00000000" w:rsidRPr="00000000">
              <w:rPr>
                <w:sz w:val="18"/>
                <w:szCs w:val="18"/>
                <w:rtl w:val="0"/>
              </w:rPr>
              <w:t xml:space="preserve">Treating a disabled person unfavourably because of something arising from disability without objective justification.</w:t>
            </w:r>
          </w:p>
        </w:tc>
      </w:tr>
    </w:tbl>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Bullying or unfair treatment may breach ReConnect standards even where it does not meet the legal definition of discrimination. Such concerns will still be addressed.</w:t>
      </w:r>
    </w:p>
    <w:p w:rsidR="00000000" w:rsidDel="00000000" w:rsidP="00000000" w:rsidRDefault="00000000" w:rsidRPr="00000000" w14:paraId="00000038">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hdv7zr2bsx3" w:id="9"/>
      <w:bookmarkEnd w:id="9"/>
      <w:r w:rsidDel="00000000" w:rsidR="00000000" w:rsidRPr="00000000">
        <w:rPr>
          <w:rtl w:val="0"/>
        </w:rPr>
        <w:t xml:space="preserve">Aims</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ReConnect aims to:</w:t>
      </w:r>
    </w:p>
    <w:p w:rsidR="00000000" w:rsidDel="00000000" w:rsidP="00000000" w:rsidRDefault="00000000" w:rsidRPr="00000000" w14:paraId="0000003A">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provide a safe, respectful and inclusive environment in which difference is valued</w:t>
      </w:r>
    </w:p>
    <w:p w:rsidR="00000000" w:rsidDel="00000000" w:rsidP="00000000" w:rsidRDefault="00000000" w:rsidRPr="00000000" w14:paraId="0000003B">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ensure fair access to opportunities, services, learning and employment</w:t>
      </w:r>
    </w:p>
    <w:p w:rsidR="00000000" w:rsidDel="00000000" w:rsidP="00000000" w:rsidRDefault="00000000" w:rsidRPr="00000000" w14:paraId="0000003C">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identify and remove barriers in policies, practices, environments and communication</w:t>
      </w:r>
    </w:p>
    <w:p w:rsidR="00000000" w:rsidDel="00000000" w:rsidP="00000000" w:rsidRDefault="00000000" w:rsidRPr="00000000" w14:paraId="0000003D">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make timely and effective reasonable adjustments</w:t>
      </w:r>
    </w:p>
    <w:p w:rsidR="00000000" w:rsidDel="00000000" w:rsidP="00000000" w:rsidRDefault="00000000" w:rsidRPr="00000000" w14:paraId="0000003E">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challenge prejudice, discriminatory language, harassment and victimisation</w:t>
      </w:r>
    </w:p>
    <w:p w:rsidR="00000000" w:rsidDel="00000000" w:rsidP="00000000" w:rsidRDefault="00000000" w:rsidRPr="00000000" w14:paraId="0000003F">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use evidence to identify unequal outcomes and improve practice</w:t>
      </w:r>
    </w:p>
    <w:p w:rsidR="00000000" w:rsidDel="00000000" w:rsidP="00000000" w:rsidRDefault="00000000" w:rsidRPr="00000000" w14:paraId="00000040">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support people to raise concerns without fear of retaliation</w:t>
      </w:r>
    </w:p>
    <w:p w:rsidR="00000000" w:rsidDel="00000000" w:rsidP="00000000" w:rsidRDefault="00000000" w:rsidRPr="00000000" w14:paraId="00000041">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j4hdfv7i77cu" w:id="10"/>
      <w:bookmarkEnd w:id="10"/>
      <w:r w:rsidDel="00000000" w:rsidR="00000000" w:rsidRPr="00000000">
        <w:rPr>
          <w:rtl w:val="0"/>
        </w:rPr>
        <w:t xml:space="preserve">Young People, Referrals and Admissions</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Referral and placement decisions will be made against ReConnect's published offer, ability to meet identified needs safely, available resources, compatibility of the proposed package and any reasonable adjustments that could enable access. A diagnosis, disability or other protected characteristic will not by itself be a reason to refuse a placement.</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Before deciding that ReConnect cannot meet need, the responsible leader will consider the available evidence, consult the commissioner, seek further information where necessary and consider reasonable adjustments or additional resources. Reasons for a decision will be recorded and communicated through the agreed referral process.</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ReConnect will not knowingly assist a commissioner to use alternative provision as a means of informal exclusion, discriminatory placement or avoidance of statutory duties. Concerns about an inappropriate referral or package will be escalated.</w:t>
      </w:r>
    </w:p>
    <w:p w:rsidR="00000000" w:rsidDel="00000000" w:rsidP="00000000" w:rsidRDefault="00000000" w:rsidRPr="00000000" w14:paraId="00000045">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fu5cl1o0lvw9" w:id="11"/>
      <w:bookmarkEnd w:id="11"/>
      <w:r w:rsidDel="00000000" w:rsidR="00000000" w:rsidRPr="00000000">
        <w:rPr>
          <w:rtl w:val="0"/>
        </w:rPr>
        <w:t xml:space="preserve">Curriculum, Activities and Participation</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Young people will have equitable access to learning, enrichment, facilities, trips, qualifications and preparation for adulthood. Staff will use adaptive teaching, accessible resources and personalised support while maintaining appropriate ambition.</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Activities will not be restricted on the basis of sex, disability, race, religion or another protected characteristic unless a lawful, necessary and proportionate reason applies. Risk assessments will focus on individual circumstances and practical controls rather than generalised assumptions about a group.</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Curriculum content and discussion will promote respect, challenge stereotypes and reflect a range of identities, cultures, families and experiences where appropriate. Staff must handle sensitive topics impartially, professionally and in an age-appropriate way.</w:t>
      </w:r>
    </w:p>
    <w:p w:rsidR="00000000" w:rsidDel="00000000" w:rsidP="00000000" w:rsidRDefault="00000000" w:rsidRPr="00000000" w14:paraId="00000049">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lvub5wcng32d" w:id="12"/>
      <w:bookmarkEnd w:id="12"/>
      <w:r w:rsidDel="00000000" w:rsidR="00000000" w:rsidRPr="00000000">
        <w:rPr>
          <w:rtl w:val="0"/>
        </w:rPr>
        <w:t xml:space="preserve">Reasonable Adjustments and Accessibility</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ReConnect will take reasonable steps to avoid substantial disadvantage for disabled people. Adjustments may relate to communication, recruitment, working arrangements, timetable, group size, environment, equipment, teaching, assessment, supervision, sensory access, information format, physical access or the way an activity is delivered.</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Requests will be considered promptly and in discussion with the person concerned and, for a young person, with the family and commissioner where appropriate. ReConnect may seek occupational health, medical, SEND or other specialist advice with suitable authority. A person does not need to use particular legal language before an adjustment is considered.</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When deciding what is reasonable, ReConnect will consider effectiveness, practicability, cost, available resources, disruption, health and safety, the interests of others and support available from a commissioner or external scheme. Cost alone will not automatically determine the outcome. If a requested adjustment cannot be made, reasons and practicable alternatives will be recorded and explained.</w:t>
      </w:r>
    </w:p>
    <w:p w:rsidR="00000000" w:rsidDel="00000000" w:rsidP="00000000" w:rsidRDefault="00000000" w:rsidRPr="00000000" w14:paraId="0000004D">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wec4q6bpf9u9" w:id="13"/>
      <w:bookmarkEnd w:id="13"/>
      <w:r w:rsidDel="00000000" w:rsidR="00000000" w:rsidRPr="00000000">
        <w:rPr>
          <w:rtl w:val="0"/>
        </w:rPr>
        <w:t xml:space="preserve">Employment and Recruitment</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Employment decisions will be fair, consistent and based on the requirements of the role. Job descriptions and selection criteria will be reviewed to remove unnecessary barriers. Vacancies will be advertised through appropriate routes and wording will not discourage applicants because of a protected characteristic.</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Shortlisting and interviews will use relevant, evidence-based criteria. Applicants will be asked whether they need adjustments to participate in the selection process. Health or disability questions before an offer will be limited to circumstances permitted by law, including arranging adjustments or establishing whether an applicant can carry out an intrinsic function of the role.</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Safer recruitment checks required for work with children and young people will be applied lawfully and consistently. Equality duties do not prevent ReConnect from making proportionate safeguarding decisions based on relevant evidence.</w:t>
      </w:r>
    </w:p>
    <w:p w:rsidR="00000000" w:rsidDel="00000000" w:rsidP="00000000" w:rsidRDefault="00000000" w:rsidRPr="00000000" w14:paraId="00000051">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yqno98mlwcce" w:id="14"/>
      <w:bookmarkEnd w:id="14"/>
      <w:r w:rsidDel="00000000" w:rsidR="00000000" w:rsidRPr="00000000">
        <w:rPr>
          <w:rtl w:val="0"/>
        </w:rPr>
        <w:t xml:space="preserve">Terms, Pay, Development and Progression</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Pay, contractual terms, allocation of work, training, support, promotion and other opportunities will be determined through transparent and relevant criteria. Part-time, fixed-term, family leave, flexible working or adjusted-working arrangements must not result in unjustified disadvantage.</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Performance and conduct processes will distinguish between misconduct, capability, disability-related effects, unmet support needs and barriers created by the workplace. Reasonable adjustments will be considered throughout meetings, targets, evidence gathering and formal procedures.</w:t>
      </w:r>
    </w:p>
    <w:p w:rsidR="00000000" w:rsidDel="00000000" w:rsidP="00000000" w:rsidRDefault="00000000" w:rsidRPr="00000000" w14:paraId="00000054">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lkllu7d5nbou" w:id="15"/>
      <w:bookmarkEnd w:id="15"/>
      <w:r w:rsidDel="00000000" w:rsidR="00000000" w:rsidRPr="00000000">
        <w:rPr>
          <w:rtl w:val="0"/>
        </w:rPr>
        <w:t xml:space="preserve">Pregnancy, Maternity and Family Responsibilities</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Pregnancy and maternity discrimination is prohibited. ReConnect will complete appropriate risk assessments, make required health and safety adjustments, respect maternity rights and ensure that absence or changed duties related to pregnancy do not result in unfair treatment.</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Employees and young people with caring responsibilities will be treated respectfully and consistently. Caring responsibility is not itself a protected characteristic, but discrimination by association, sex discrimination, disability-related duties and statutory leave or flexible working rights may apply.</w:t>
      </w:r>
    </w:p>
    <w:p w:rsidR="00000000" w:rsidDel="00000000" w:rsidP="00000000" w:rsidRDefault="00000000" w:rsidRPr="00000000" w14:paraId="00000057">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fkwovl70ohhv" w:id="16"/>
      <w:bookmarkEnd w:id="16"/>
      <w:r w:rsidDel="00000000" w:rsidR="00000000" w:rsidRPr="00000000">
        <w:rPr>
          <w:rtl w:val="0"/>
        </w:rPr>
        <w:t xml:space="preserve">Religion, Belief, Dress and Observance</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ReConnect respects religion, belief and non-belief. Reasonable requests relating to dress, dietary needs, prayer, observance or time away will be considered fairly alongside safeguarding, health and safety, operational requirements and the rights of others. Restrictions must have a legitimate purpose and be proportionate.</w:t>
      </w:r>
    </w:p>
    <w:p w:rsidR="00000000" w:rsidDel="00000000" w:rsidP="00000000" w:rsidRDefault="00000000" w:rsidRPr="00000000" w14:paraId="00000059">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rs3pjlp1933d" w:id="17"/>
      <w:bookmarkEnd w:id="17"/>
      <w:r w:rsidDel="00000000" w:rsidR="00000000" w:rsidRPr="00000000">
        <w:rPr>
          <w:rtl w:val="0"/>
        </w:rPr>
        <w:t xml:space="preserve">Gender Reassignment, Sex and Sexual Orientation</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Trans people, people proposing to transition or undergoing transition, and people of all sexual orientations will be treated with dignity and protected from discrimination and harassment. Personal information will be handled confidentially and shared only where necessary and lawful.</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Questions involving facilities, records, names, pronouns, privacy, safeguarding or single-sex activities will be addressed sensitively on the individual facts, with regard to current law, guidance, safety, dignity and the rights of everyone affected. Staff must not make informal promises about confidentiality where safeguarding or legal duties require information to be shared.</w:t>
      </w:r>
    </w:p>
    <w:p w:rsidR="00000000" w:rsidDel="00000000" w:rsidP="00000000" w:rsidRDefault="00000000" w:rsidRPr="00000000" w14:paraId="0000005C">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gljvbqwrn520" w:id="18"/>
      <w:bookmarkEnd w:id="18"/>
      <w:r w:rsidDel="00000000" w:rsidR="00000000" w:rsidRPr="00000000">
        <w:rPr>
          <w:rtl w:val="0"/>
        </w:rPr>
        <w:t xml:space="preserve">Harassment, Bullying and Discriminatory Conduct</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Discriminatory language, jokes, images, gestures, exclusion, online conduct, sexual harassment and other unwanted behaviour are not acceptable. This applies whether conduct occurs on site, online, during travel, at events or in another setting connected with ReConnect.</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Staff must challenge inappropriate conduct safely, support the person affected, preserve relevant evidence and report the concern through the appropriate safeguarding, behaviour, grievance or complaint route. The impact of conduct will be considered as well as the stated intention.</w:t>
      </w:r>
    </w:p>
    <w:p w:rsidR="00000000" w:rsidDel="00000000" w:rsidP="00000000" w:rsidRDefault="00000000" w:rsidRPr="00000000" w14:paraId="0000005F">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zej4u7epk2r" w:id="19"/>
      <w:bookmarkEnd w:id="19"/>
      <w:r w:rsidDel="00000000" w:rsidR="00000000" w:rsidRPr="00000000">
        <w:rPr>
          <w:rtl w:val="0"/>
        </w:rPr>
        <w:t xml:space="preserve">Safeguarding and Equality</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Prejudice, harassment, hate incidents and discriminatory abuse may also be safeguarding concerns. Staff will consider whether a person is at risk because of identity, disability, communication need, isolation, exploitation or unequal power. Safeguarding action will not be delayed while deciding whether conduct meets a legal definition of discrimination.</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Equality considerations do not prevent proportionate action to protect children, adults at risk, staff or the public. Decisions must be based on evidence and individual risk rather than stereotypes.</w:t>
      </w:r>
    </w:p>
    <w:p w:rsidR="00000000" w:rsidDel="00000000" w:rsidP="00000000" w:rsidRDefault="00000000" w:rsidRPr="00000000" w14:paraId="00000062">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lnpsf9jewavx" w:id="20"/>
      <w:bookmarkEnd w:id="20"/>
      <w:r w:rsidDel="00000000" w:rsidR="00000000" w:rsidRPr="00000000">
        <w:rPr>
          <w:rtl w:val="0"/>
        </w:rPr>
        <w:t xml:space="preserve">Positive Action and Occupational Requirements</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Where lawful and supported by evidence, ReConnect may take proportionate positive action to address disadvantage, meet different needs or improve participation by an under-represented group. Positive action is not the same as automatic preferential treatment.</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A protected characteristic will be specified as an occupational requirement only where the law permits it and the requirement is genuinely necessary and proportionate for the particular role. Senior approval and appropriate advice will be obtained before use.</w:t>
      </w:r>
    </w:p>
    <w:p w:rsidR="00000000" w:rsidDel="00000000" w:rsidP="00000000" w:rsidRDefault="00000000" w:rsidRPr="00000000" w14:paraId="00000065">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2uzro9dotqq5" w:id="21"/>
      <w:bookmarkEnd w:id="21"/>
      <w:r w:rsidDel="00000000" w:rsidR="00000000" w:rsidRPr="00000000">
        <w:rPr>
          <w:rtl w:val="0"/>
        </w:rPr>
        <w:t xml:space="preserve">Third Parties, Contractors and Commissioners</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Suppliers, contractors, agency workers, visitors and partners are expected to follow this policy while working with ReConnect. Contracting and purchasing decisions should consider accessibility, fair treatment and the provider's ability to meet relevant equality requirements.</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ReConnect will share concerns with commissioners where their decision, information, funding or proposed arrangement creates an equality barrier. Joint working does not remove each organisation's accountability for its own decisions.</w:t>
      </w:r>
    </w:p>
    <w:p w:rsidR="00000000" w:rsidDel="00000000" w:rsidP="00000000" w:rsidRDefault="00000000" w:rsidRPr="00000000" w14:paraId="00000068">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b3mja9t8kbsx" w:id="22"/>
      <w:bookmarkEnd w:id="22"/>
      <w:r w:rsidDel="00000000" w:rsidR="00000000" w:rsidRPr="00000000">
        <w:rPr>
          <w:rtl w:val="0"/>
        </w:rPr>
        <w:t xml:space="preserve">Data, Confidentiality and Equality Monitoring</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Equality information is personal data and may include special category data. It will be collected only for a clear and lawful purpose, kept secure, limited to those who need it and retained in accordance with the Data Protection Policy and privacy information.</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Where proportionate, ReConnect may review anonymised or appropriately aggregated information about recruitment, workforce, referrals, participation, attendance, outcomes, incidents, complaints, exclusions from activities and placement endings. Monitoring will be used to identify patterns and improve practice, not to stereotype individuals.</w:t>
      </w:r>
    </w:p>
    <w:p w:rsidR="00000000" w:rsidDel="00000000" w:rsidP="00000000" w:rsidRDefault="00000000" w:rsidRPr="00000000" w14:paraId="0000006B">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j13sy5b8kgz1" w:id="23"/>
      <w:bookmarkEnd w:id="23"/>
      <w:r w:rsidDel="00000000" w:rsidR="00000000" w:rsidRPr="00000000">
        <w:rPr>
          <w:rtl w:val="0"/>
        </w:rPr>
        <w:t xml:space="preserve">Raising a Concern</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Anyone who experiences, witnesses or becomes aware of possible discrimination, harassment, victimisation or an equality barrier should raise it as soon as possible. Young people may speak to any trusted member of staff. Parents, carers, visitors and service users may use the Complaints Policy. Employees may use informal management routes, the Grievance Procedure or whistleblowing arrangements as appropriate.</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A safeguarding concern must be reported immediately under the Safeguarding and Child Protection Policy. Complaints will be taken seriously, handled impartially and progressed without avoidable delay. Interim measures may be used to protect people or preserve a fair process.</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No person will be disadvantaged for raising a concern in good faith, supporting another person or providing evidence. Knowingly false or malicious allegations may be addressed under the relevant procedure, but an unsubstantiated concern is not automatically malicious.</w:t>
      </w:r>
    </w:p>
    <w:p w:rsidR="00000000" w:rsidDel="00000000" w:rsidP="00000000" w:rsidRDefault="00000000" w:rsidRPr="00000000" w14:paraId="0000006F">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jtvzudq2luhh" w:id="24"/>
      <w:bookmarkEnd w:id="24"/>
      <w:r w:rsidDel="00000000" w:rsidR="00000000" w:rsidRPr="00000000">
        <w:rPr>
          <w:rtl w:val="0"/>
        </w:rPr>
        <w:t xml:space="preserve">Responding to Breaches</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A breach by an employee or worker may lead to action under disciplinary or capability procedures. A breach by a young person will be managed through safeguarding and the Behaviour and Relationships Policy, with needs, age, understanding and reasonable adjustments considered. Contractors, visitors or partners may have access restricted or contractual action taken.</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Remedial action may include an apology, support, training, adjustment, mediation where suitable, correction of records or decisions, policy change, disciplinary action, referral to another body or additional monitoring. Serious incidents may be reported to the police, local authority, commissioner, regulator or other authority where required.</w:t>
      </w:r>
    </w:p>
    <w:p w:rsidR="00000000" w:rsidDel="00000000" w:rsidP="00000000" w:rsidRDefault="00000000" w:rsidRPr="00000000" w14:paraId="00000072">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iz8bzx32r6i6" w:id="25"/>
      <w:bookmarkEnd w:id="25"/>
      <w:r w:rsidDel="00000000" w:rsidR="00000000" w:rsidRPr="00000000">
        <w:rPr>
          <w:rtl w:val="0"/>
        </w:rPr>
        <w:t xml:space="preserve">Roles and Responsibilities</w:t>
      </w:r>
    </w:p>
    <w:p w:rsidR="00000000" w:rsidDel="00000000" w:rsidP="00000000" w:rsidRDefault="00000000" w:rsidRPr="00000000" w14:paraId="00000073">
      <w:pPr>
        <w:pStyle w:val="Heading2"/>
        <w:pBdr>
          <w:top w:color="auto" w:space="0" w:sz="0" w:val="none"/>
          <w:left w:color="auto" w:space="0" w:sz="0" w:val="none"/>
          <w:bottom w:color="auto" w:space="0" w:sz="0" w:val="none"/>
          <w:right w:color="auto" w:space="0" w:sz="0" w:val="none"/>
          <w:between w:color="auto" w:space="0" w:sz="0" w:val="none"/>
        </w:pBdr>
        <w:shd w:fill="ffffff" w:val="clear"/>
        <w:spacing w:after="100" w:before="280" w:lineRule="auto"/>
        <w:rPr/>
      </w:pPr>
      <w:bookmarkStart w:colFirst="0" w:colLast="0" w:name="_heading=h.m9495h5a2jt" w:id="26"/>
      <w:bookmarkEnd w:id="26"/>
      <w:r w:rsidDel="00000000" w:rsidR="00000000" w:rsidRPr="00000000">
        <w:rPr>
          <w:rtl w:val="0"/>
        </w:rPr>
        <w:t xml:space="preserve">Chief Operating Officer and Directors</w:t>
      </w:r>
    </w:p>
    <w:p w:rsidR="00000000" w:rsidDel="00000000" w:rsidP="00000000" w:rsidRDefault="00000000" w:rsidRPr="00000000" w14:paraId="00000074">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Approve this policy and provide leadership, oversight and adequate resources.</w:t>
      </w:r>
    </w:p>
    <w:p w:rsidR="00000000" w:rsidDel="00000000" w:rsidP="00000000" w:rsidRDefault="00000000" w:rsidRPr="00000000" w14:paraId="00000075">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Consider equality implications in strategic, workforce, financial and service decisions.</w:t>
      </w:r>
    </w:p>
    <w:p w:rsidR="00000000" w:rsidDel="00000000" w:rsidP="00000000" w:rsidRDefault="00000000" w:rsidRPr="00000000" w14:paraId="00000076">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Review significant concerns, patterns, risks and improvement action.</w:t>
      </w:r>
    </w:p>
    <w:p w:rsidR="00000000" w:rsidDel="00000000" w:rsidP="00000000" w:rsidRDefault="00000000" w:rsidRPr="00000000" w14:paraId="00000077">
      <w:pPr>
        <w:pStyle w:val="Heading2"/>
        <w:pBdr>
          <w:top w:color="auto" w:space="0" w:sz="0" w:val="none"/>
          <w:left w:color="auto" w:space="0" w:sz="0" w:val="none"/>
          <w:bottom w:color="auto" w:space="0" w:sz="0" w:val="none"/>
          <w:right w:color="auto" w:space="0" w:sz="0" w:val="none"/>
          <w:between w:color="auto" w:space="0" w:sz="0" w:val="none"/>
        </w:pBdr>
        <w:shd w:fill="ffffff" w:val="clear"/>
        <w:spacing w:after="100" w:before="280" w:lineRule="auto"/>
        <w:rPr/>
      </w:pPr>
      <w:bookmarkStart w:colFirst="0" w:colLast="0" w:name="_heading=h.l96wb3chuxqz" w:id="27"/>
      <w:bookmarkEnd w:id="27"/>
      <w:r w:rsidDel="00000000" w:rsidR="00000000" w:rsidRPr="00000000">
        <w:rPr>
          <w:rtl w:val="0"/>
        </w:rPr>
        <w:t xml:space="preserve">Head of Provision and Managers</w:t>
      </w:r>
    </w:p>
    <w:p w:rsidR="00000000" w:rsidDel="00000000" w:rsidP="00000000" w:rsidRDefault="00000000" w:rsidRPr="00000000" w14:paraId="00000078">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Implement this policy consistently and model inclusive behaviour.</w:t>
      </w:r>
    </w:p>
    <w:p w:rsidR="00000000" w:rsidDel="00000000" w:rsidP="00000000" w:rsidRDefault="00000000" w:rsidRPr="00000000" w14:paraId="00000079">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Make fair, evidence-based decisions and record equality considerations where relevant.</w:t>
      </w:r>
    </w:p>
    <w:p w:rsidR="00000000" w:rsidDel="00000000" w:rsidP="00000000" w:rsidRDefault="00000000" w:rsidRPr="00000000" w14:paraId="0000007A">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Ensure reasonable adjustments and agreed support are implemented.</w:t>
      </w:r>
    </w:p>
    <w:p w:rsidR="00000000" w:rsidDel="00000000" w:rsidP="00000000" w:rsidRDefault="00000000" w:rsidRPr="00000000" w14:paraId="0000007B">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Respond promptly to concerns and escalate safeguarding or serious matters.</w:t>
      </w:r>
    </w:p>
    <w:p w:rsidR="00000000" w:rsidDel="00000000" w:rsidP="00000000" w:rsidRDefault="00000000" w:rsidRPr="00000000" w14:paraId="0000007C">
      <w:pPr>
        <w:pStyle w:val="Heading2"/>
        <w:pBdr>
          <w:top w:color="auto" w:space="0" w:sz="0" w:val="none"/>
          <w:left w:color="auto" w:space="0" w:sz="0" w:val="none"/>
          <w:bottom w:color="auto" w:space="0" w:sz="0" w:val="none"/>
          <w:right w:color="auto" w:space="0" w:sz="0" w:val="none"/>
          <w:between w:color="auto" w:space="0" w:sz="0" w:val="none"/>
        </w:pBdr>
        <w:shd w:fill="ffffff" w:val="clear"/>
        <w:spacing w:after="100" w:before="280" w:lineRule="auto"/>
        <w:rPr/>
      </w:pPr>
      <w:bookmarkStart w:colFirst="0" w:colLast="0" w:name="_heading=h.c2oirqns4r3j" w:id="28"/>
      <w:bookmarkEnd w:id="28"/>
      <w:r w:rsidDel="00000000" w:rsidR="00000000" w:rsidRPr="00000000">
        <w:rPr>
          <w:rtl w:val="0"/>
        </w:rPr>
        <w:t xml:space="preserve">All Staff and Workers</w:t>
      </w:r>
    </w:p>
    <w:p w:rsidR="00000000" w:rsidDel="00000000" w:rsidP="00000000" w:rsidRDefault="00000000" w:rsidRPr="00000000" w14:paraId="0000007D">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Treat people with dignity and challenge discrimination safely.</w:t>
      </w:r>
    </w:p>
    <w:p w:rsidR="00000000" w:rsidDel="00000000" w:rsidP="00000000" w:rsidRDefault="00000000" w:rsidRPr="00000000" w14:paraId="0000007E">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Use inclusive, professional language and avoid stereotypes.</w:t>
      </w:r>
    </w:p>
    <w:p w:rsidR="00000000" w:rsidDel="00000000" w:rsidP="00000000" w:rsidRDefault="00000000" w:rsidRPr="00000000" w14:paraId="0000007F">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Follow agreed adjustments and accessible working practices.</w:t>
      </w:r>
    </w:p>
    <w:p w:rsidR="00000000" w:rsidDel="00000000" w:rsidP="00000000" w:rsidRDefault="00000000" w:rsidRPr="00000000" w14:paraId="00000080">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Report concerns and cooperate honestly with reviews or investigations.</w:t>
      </w:r>
    </w:p>
    <w:p w:rsidR="00000000" w:rsidDel="00000000" w:rsidP="00000000" w:rsidRDefault="00000000" w:rsidRPr="00000000" w14:paraId="00000081">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Complete required equality, safeguarding and related training.</w:t>
      </w:r>
    </w:p>
    <w:p w:rsidR="00000000" w:rsidDel="00000000" w:rsidP="00000000" w:rsidRDefault="00000000" w:rsidRPr="00000000" w14:paraId="00000082">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2ocg298j5e1f" w:id="29"/>
      <w:bookmarkEnd w:id="29"/>
      <w:r w:rsidDel="00000000" w:rsidR="00000000" w:rsidRPr="00000000">
        <w:rPr>
          <w:rtl w:val="0"/>
        </w:rPr>
        <w:t xml:space="preserve">Training and Awareness</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Staff will receive equality, diversity, inclusion and harassment awareness appropriate to their role. Additional guidance will be provided to people involved in recruitment, complaints, disciplinary matters, curriculum planning, referral decisions and reasonable adjustments. Training needs will be reviewed in response to legal changes, incidents, monitoring and feedback.</w:t>
      </w:r>
    </w:p>
    <w:p w:rsidR="00000000" w:rsidDel="00000000" w:rsidP="00000000" w:rsidRDefault="00000000" w:rsidRPr="00000000" w14:paraId="00000084">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jl6bevviuxea" w:id="30"/>
      <w:bookmarkEnd w:id="30"/>
      <w:r w:rsidDel="00000000" w:rsidR="00000000" w:rsidRPr="00000000">
        <w:rPr>
          <w:rtl w:val="0"/>
        </w:rPr>
        <w:t xml:space="preserve">Monitoring and Review</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Leaders will monitor implementation through complaints, grievances, safeguarding records, recruitment and workforce information, young person outcomes, feedback, audits and commissioner discussions. Apparent disparities will be explored rather than assumed to prove or disprove discrimination.</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This policy will be reviewed at least annually and sooner where legislation, guidance, organisational practice or identified risk changes. Consultation with staff, young people, families or partners will be undertaken where proportionate and useful.</w:t>
      </w:r>
    </w:p>
    <w:p w:rsidR="00000000" w:rsidDel="00000000" w:rsidP="00000000" w:rsidRDefault="00000000" w:rsidRPr="00000000" w14:paraId="00000087">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wfaboyy9ngpu" w:id="31"/>
      <w:bookmarkEnd w:id="31"/>
      <w:r w:rsidDel="00000000" w:rsidR="00000000" w:rsidRPr="00000000">
        <w:rPr>
          <w:rtl w:val="0"/>
        </w:rPr>
        <w:t xml:space="preserve">Related ReConnect Documents</w:t>
      </w:r>
    </w:p>
    <w:p w:rsidR="00000000" w:rsidDel="00000000" w:rsidP="00000000" w:rsidRDefault="00000000" w:rsidRPr="00000000" w14:paraId="00000088">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Safeguarding and Child Protection Policy</w:t>
      </w:r>
    </w:p>
    <w:p w:rsidR="00000000" w:rsidDel="00000000" w:rsidP="00000000" w:rsidRDefault="00000000" w:rsidRPr="00000000" w14:paraId="00000089">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Special Educational Needs Policy</w:t>
      </w:r>
    </w:p>
    <w:p w:rsidR="00000000" w:rsidDel="00000000" w:rsidP="00000000" w:rsidRDefault="00000000" w:rsidRPr="00000000" w14:paraId="0000008A">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Safer Recruitment Policy</w:t>
      </w:r>
    </w:p>
    <w:p w:rsidR="00000000" w:rsidDel="00000000" w:rsidP="00000000" w:rsidRDefault="00000000" w:rsidRPr="00000000" w14:paraId="0000008B">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Behaviour and Relationships Policy</w:t>
      </w:r>
    </w:p>
    <w:p w:rsidR="00000000" w:rsidDel="00000000" w:rsidP="00000000" w:rsidRDefault="00000000" w:rsidRPr="00000000" w14:paraId="0000008C">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Anti-Bullying Policy</w:t>
      </w:r>
    </w:p>
    <w:p w:rsidR="00000000" w:rsidDel="00000000" w:rsidP="00000000" w:rsidRDefault="00000000" w:rsidRPr="00000000" w14:paraId="0000008D">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Complaints Policy</w:t>
      </w:r>
    </w:p>
    <w:p w:rsidR="00000000" w:rsidDel="00000000" w:rsidP="00000000" w:rsidRDefault="00000000" w:rsidRPr="00000000" w14:paraId="0000008E">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Grievance Procedure</w:t>
      </w:r>
    </w:p>
    <w:p w:rsidR="00000000" w:rsidDel="00000000" w:rsidP="00000000" w:rsidRDefault="00000000" w:rsidRPr="00000000" w14:paraId="0000008F">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Disciplinary Procedure</w:t>
      </w:r>
    </w:p>
    <w:p w:rsidR="00000000" w:rsidDel="00000000" w:rsidP="00000000" w:rsidRDefault="00000000" w:rsidRPr="00000000" w14:paraId="00000090">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Whistleblowing Policy</w:t>
      </w:r>
    </w:p>
    <w:p w:rsidR="00000000" w:rsidDel="00000000" w:rsidP="00000000" w:rsidRDefault="00000000" w:rsidRPr="00000000" w14:paraId="00000091">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Data Protection Policy and Privacy Policy</w:t>
      </w:r>
    </w:p>
    <w:p w:rsidR="00000000" w:rsidDel="00000000" w:rsidP="00000000" w:rsidRDefault="00000000" w:rsidRPr="00000000" w14:paraId="00000092">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Accessibility arrangements or plan</w:t>
      </w:r>
    </w:p>
    <w:p w:rsidR="00000000" w:rsidDel="00000000" w:rsidP="00000000" w:rsidRDefault="00000000" w:rsidRPr="00000000" w14:paraId="00000093">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Admissions and Referrals procedures</w:t>
      </w:r>
    </w:p>
    <w:p w:rsidR="00000000" w:rsidDel="00000000" w:rsidP="00000000" w:rsidRDefault="00000000" w:rsidRPr="00000000" w14:paraId="00000094">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40" w:before="360" w:lineRule="auto"/>
        <w:rPr/>
      </w:pPr>
      <w:bookmarkStart w:colFirst="0" w:colLast="0" w:name="_heading=h.i0igtnpawze5" w:id="32"/>
      <w:bookmarkEnd w:id="32"/>
      <w:r w:rsidDel="00000000" w:rsidR="00000000" w:rsidRPr="00000000">
        <w:rPr>
          <w:rtl w:val="0"/>
        </w:rPr>
        <w:t xml:space="preserve">Appendix: Key Legal and Guidance Framework</w:t>
      </w:r>
    </w:p>
    <w:p w:rsidR="00000000" w:rsidDel="00000000" w:rsidP="00000000" w:rsidRDefault="00000000" w:rsidRPr="00000000" w14:paraId="00000095">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Equality Act 2010</w:t>
      </w:r>
    </w:p>
    <w:p w:rsidR="00000000" w:rsidDel="00000000" w:rsidP="00000000" w:rsidRDefault="00000000" w:rsidRPr="00000000" w14:paraId="00000096">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Employment Rights Act 1996 and relevant family leave and flexible working provisions</w:t>
      </w:r>
    </w:p>
    <w:p w:rsidR="00000000" w:rsidDel="00000000" w:rsidP="00000000" w:rsidRDefault="00000000" w:rsidRPr="00000000" w14:paraId="00000097">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Children and Families Act 2014 and SEND Code of Practice: 0 to 25 years</w:t>
      </w:r>
    </w:p>
    <w:p w:rsidR="00000000" w:rsidDel="00000000" w:rsidP="00000000" w:rsidRDefault="00000000" w:rsidRPr="00000000" w14:paraId="00000098">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Human Rights Act 1998</w:t>
      </w:r>
    </w:p>
    <w:p w:rsidR="00000000" w:rsidDel="00000000" w:rsidP="00000000" w:rsidRDefault="00000000" w:rsidRPr="00000000" w14:paraId="00000099">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Protection from Harassment Act 1997</w:t>
      </w:r>
    </w:p>
    <w:p w:rsidR="00000000" w:rsidDel="00000000" w:rsidP="00000000" w:rsidRDefault="00000000" w:rsidRPr="00000000" w14:paraId="0000009A">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UK GDPR and Data Protection Act 2018</w:t>
      </w:r>
    </w:p>
    <w:p w:rsidR="00000000" w:rsidDel="00000000" w:rsidP="00000000" w:rsidRDefault="00000000" w:rsidRPr="00000000" w14:paraId="0000009B">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Current Equality and Human Rights Commission statutory codes and guidance</w:t>
      </w:r>
    </w:p>
    <w:p w:rsidR="00000000" w:rsidDel="00000000" w:rsidP="00000000" w:rsidRDefault="00000000" w:rsidRPr="00000000" w14:paraId="0000009C">
      <w:pPr>
        <w:pBdr>
          <w:top w:color="auto" w:space="0" w:sz="0" w:val="none"/>
          <w:left w:color="auto" w:space="-18" w:sz="0" w:val="none"/>
          <w:bottom w:color="auto" w:space="0" w:sz="0" w:val="none"/>
          <w:right w:color="auto" w:space="0" w:sz="0" w:val="none"/>
          <w:between w:color="auto" w:space="0" w:sz="0" w:val="none"/>
        </w:pBdr>
        <w:shd w:fill="ffffff" w:val="clear"/>
        <w:spacing w:after="60" w:line="276" w:lineRule="auto"/>
        <w:ind w:left="720" w:hanging="360"/>
        <w:rPr>
          <w:sz w:val="23"/>
          <w:szCs w:val="23"/>
        </w:rPr>
      </w:pPr>
      <w:r w:rsidDel="00000000" w:rsidR="00000000" w:rsidRPr="00000000">
        <w:rPr>
          <w:sz w:val="23"/>
          <w:szCs w:val="23"/>
          <w:rtl w:val="0"/>
        </w:rPr>
        <w:t xml:space="preserve">Current ACAS guidance on discrimination, equality and workplace procedures</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after="160" w:line="324.00000000000006" w:lineRule="auto"/>
        <w:rPr/>
      </w:pPr>
      <w:r w:rsidDel="00000000" w:rsidR="00000000" w:rsidRPr="00000000">
        <w:rPr>
          <w:rtl w:val="0"/>
        </w:rPr>
        <w:t xml:space="preserve">This policy is an organisational framework and does not replace case-specific legal or HR advice where a complex equality issue arises.</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b w:val="1"/>
          <w:bCs w:val="1"/>
          <w:sz w:val="24"/>
          <w:szCs w:val="24"/>
        </w:rPr>
      </w:pPr>
      <w:r w:rsidDel="00000000" w:rsidR="00000000" w:rsidRPr="00000000">
        <w:rPr>
          <w:rtl w:val="0"/>
        </w:rPr>
      </w:r>
    </w:p>
    <w:p w:rsidR="00000000" w:rsidDel="00000000" w:rsidP="00000000" w:rsidRDefault="00000000" w:rsidRPr="00000000" w14:paraId="000000A1">
      <w:pPr>
        <w:rPr>
          <w:b w:val="1"/>
          <w:bCs w:val="1"/>
          <w:sz w:val="24"/>
          <w:szCs w:val="24"/>
        </w:rPr>
      </w:pPr>
      <w:r w:rsidDel="00000000" w:rsidR="00000000" w:rsidRPr="00000000">
        <w:rPr>
          <w:rtl w:val="0"/>
        </w:rPr>
      </w:r>
    </w:p>
    <w:p w:rsidR="00000000" w:rsidDel="00000000" w:rsidP="00000000" w:rsidRDefault="00000000" w:rsidRPr="00000000" w14:paraId="000000A2">
      <w:pPr>
        <w:pStyle w:val="Heading1"/>
        <w:ind w:firstLine="140"/>
        <w:rPr/>
      </w:pPr>
      <w:bookmarkStart w:colFirst="0" w:colLast="0" w:name="_heading=h.qahc9pg97tbo" w:id="33"/>
      <w:bookmarkEnd w:id="33"/>
      <w:r w:rsidDel="00000000" w:rsidR="00000000" w:rsidRPr="00000000">
        <w:rPr>
          <w:rtl w:val="0"/>
        </w:rPr>
        <w:t xml:space="preserve">VERSION CONTROL</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will review our documentation regularly and we reserve the right to amend our policies and procedures at any time.</w:t>
      </w:r>
    </w:p>
    <w:tbl>
      <w:tblPr>
        <w:tblStyle w:val="Table3"/>
        <w:tblW w:w="10631.999999999998"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0"/>
        <w:gridCol w:w="1984"/>
        <w:gridCol w:w="2552"/>
        <w:gridCol w:w="2126"/>
        <w:gridCol w:w="2410"/>
        <w:tblGridChange w:id="0">
          <w:tblGrid>
            <w:gridCol w:w="1560"/>
            <w:gridCol w:w="1984"/>
            <w:gridCol w:w="2552"/>
            <w:gridCol w:w="2126"/>
            <w:gridCol w:w="2410"/>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Version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Change Summary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Author/</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Reviewer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Approved by:</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29</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w:t>
            </w:r>
            <w:r w:rsidDel="00000000" w:rsidR="00000000" w:rsidRPr="00000000">
              <w:rPr>
                <w:sz w:val="24"/>
                <w:szCs w:val="24"/>
                <w:rtl w:val="0"/>
              </w:rPr>
              <w:t xml:space="preserve">8</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/202</w:t>
            </w:r>
            <w:r w:rsidDel="00000000" w:rsidR="00000000" w:rsidRPr="00000000">
              <w:rPr>
                <w:sz w:val="24"/>
                <w:szCs w:val="24"/>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Initial Version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Naomi Hamer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140" w:line="360" w:lineRule="auto"/>
              <w:ind w:left="0" w:right="523"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Director</w:t>
            </w:r>
            <w:r w:rsidDel="00000000" w:rsidR="00000000" w:rsidRPr="00000000">
              <w:rPr>
                <w:rtl w:val="0"/>
              </w:rPr>
            </w:r>
          </w:p>
        </w:tc>
      </w:tr>
    </w:tbl>
    <w:p w:rsidR="00000000" w:rsidDel="00000000" w:rsidP="00000000" w:rsidRDefault="00000000" w:rsidRPr="00000000" w14:paraId="000000AF">
      <w:pPr>
        <w:widowControl w:val="1"/>
        <w:spacing w:after="160" w:line="259" w:lineRule="auto"/>
        <w:rPr>
          <w:sz w:val="24"/>
          <w:szCs w:val="24"/>
        </w:rPr>
      </w:pPr>
      <w:r w:rsidDel="00000000" w:rsidR="00000000" w:rsidRPr="00000000">
        <w:rPr>
          <w:rtl w:val="0"/>
        </w:rPr>
      </w:r>
    </w:p>
    <w:sectPr>
      <w:headerReference r:id="rId7" w:type="default"/>
      <w:headerReference r:id="rId8" w:type="first"/>
      <w:headerReference r:id="rId9" w:type="even"/>
      <w:pgSz w:h="16840" w:w="11920" w:orient="portrait"/>
      <w:pgMar w:bottom="1361" w:top="1758" w:left="578" w:right="318" w:header="34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rPr/>
    </w:pPr>
    <w:r w:rsidDel="00000000" w:rsidR="00000000" w:rsidRPr="00000000">
      <w:rPr>
        <w:rtl w:val="0"/>
      </w:rPr>
      <w:t xml:space="preserve">[logo here]</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rPr/>
    </w:pPr>
    <w:r w:rsidDel="00000000" w:rsidR="00000000" w:rsidRPr="00000000">
      <w:rPr>
        <w:rtl w:val="0"/>
      </w:rPr>
      <w:t xml:space="preserve">[logo here]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40"/>
    </w:pPr>
    <w:rPr>
      <w:b w:val="1"/>
      <w:bCs w:val="1"/>
      <w:sz w:val="24"/>
      <w:szCs w:val="24"/>
    </w:rPr>
  </w:style>
  <w:style w:type="paragraph" w:styleId="Heading2">
    <w:name w:val="heading 2"/>
    <w:basedOn w:val="Normal"/>
    <w:next w:val="Normal"/>
    <w:pPr>
      <w:ind w:left="140"/>
    </w:pPr>
    <w:rPr>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83" w:lineRule="auto"/>
      <w:ind w:left="140"/>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74485"/>
    <w:rPr>
      <w:rFonts w:ascii="Arial" w:cs="Arial" w:eastAsia="Arial" w:hAnsi="Arial"/>
      <w:b w:val="1"/>
      <w:bCs w:val="1"/>
      <w:kern w:val="0"/>
      <w:sz w:val="24"/>
      <w:szCs w:val="24"/>
    </w:rPr>
  </w:style>
  <w:style w:type="character" w:styleId="Heading2Char" w:customStyle="1">
    <w:name w:val="Heading 2 Char"/>
    <w:basedOn w:val="DefaultParagraphFont"/>
    <w:link w:val="Heading2"/>
    <w:uiPriority w:val="9"/>
    <w:rsid w:val="00F74485"/>
    <w:rPr>
      <w:rFonts w:ascii="Arial" w:cs="Arial" w:eastAsia="Arial" w:hAnsi="Arial"/>
      <w:b w:val="1"/>
      <w:bCs w:val="1"/>
      <w:kern w:val="0"/>
      <w:sz w:val="24"/>
      <w:szCs w:val="24"/>
    </w:rPr>
  </w:style>
  <w:style w:type="paragraph" w:styleId="BodyText">
    <w:name w:val="Body Text"/>
    <w:basedOn w:val="Normal"/>
    <w:link w:val="BodyTextChar"/>
    <w:uiPriority w:val="1"/>
    <w:qFormat w:val="1"/>
    <w:rsid w:val="00FA0C16"/>
    <w:pPr>
      <w:spacing w:before="140" w:line="360" w:lineRule="auto"/>
      <w:ind w:right="522"/>
    </w:pPr>
    <w:rPr>
      <w:sz w:val="24"/>
      <w:szCs w:val="24"/>
    </w:rPr>
  </w:style>
  <w:style w:type="character" w:styleId="BodyTextChar" w:customStyle="1">
    <w:name w:val="Body Text Char"/>
    <w:basedOn w:val="DefaultParagraphFont"/>
    <w:link w:val="BodyText"/>
    <w:uiPriority w:val="1"/>
    <w:rsid w:val="00FA0C16"/>
    <w:rPr>
      <w:rFonts w:ascii="Arial" w:cs="Arial" w:eastAsia="Arial" w:hAnsi="Arial"/>
      <w:kern w:val="0"/>
      <w:sz w:val="24"/>
      <w:szCs w:val="24"/>
    </w:rPr>
  </w:style>
  <w:style w:type="character" w:styleId="TitleChar" w:customStyle="1">
    <w:name w:val="Title Char"/>
    <w:basedOn w:val="DefaultParagraphFont"/>
    <w:link w:val="Title"/>
    <w:uiPriority w:val="10"/>
    <w:rsid w:val="00F74485"/>
    <w:rPr>
      <w:rFonts w:ascii="Arial" w:cs="Arial" w:eastAsia="Arial" w:hAnsi="Arial"/>
      <w:b w:val="1"/>
      <w:bCs w:val="1"/>
      <w:kern w:val="0"/>
      <w:sz w:val="32"/>
      <w:szCs w:val="32"/>
    </w:rPr>
  </w:style>
  <w:style w:type="paragraph" w:styleId="TableParagraph" w:customStyle="1">
    <w:name w:val="Table Paragraph"/>
    <w:basedOn w:val="Normal"/>
    <w:uiPriority w:val="1"/>
    <w:qFormat w:val="1"/>
    <w:rsid w:val="00F74485"/>
    <w:pPr>
      <w:spacing w:before="122"/>
      <w:ind w:left="114"/>
    </w:pPr>
  </w:style>
  <w:style w:type="paragraph" w:styleId="Header">
    <w:name w:val="header"/>
    <w:basedOn w:val="Normal"/>
    <w:link w:val="HeaderChar"/>
    <w:uiPriority w:val="99"/>
    <w:unhideWhenUsed w:val="1"/>
    <w:rsid w:val="00AC3A2B"/>
    <w:pPr>
      <w:tabs>
        <w:tab w:val="center" w:pos="4513"/>
        <w:tab w:val="right" w:pos="9026"/>
      </w:tabs>
    </w:pPr>
  </w:style>
  <w:style w:type="character" w:styleId="HeaderChar" w:customStyle="1">
    <w:name w:val="Header Char"/>
    <w:basedOn w:val="DefaultParagraphFont"/>
    <w:link w:val="Header"/>
    <w:uiPriority w:val="99"/>
    <w:rsid w:val="00AC3A2B"/>
    <w:rPr>
      <w:rFonts w:ascii="Arial" w:cs="Arial" w:eastAsia="Arial" w:hAnsi="Arial"/>
      <w:kern w:val="0"/>
    </w:rPr>
  </w:style>
  <w:style w:type="paragraph" w:styleId="Footer">
    <w:name w:val="footer"/>
    <w:basedOn w:val="Normal"/>
    <w:link w:val="FooterChar"/>
    <w:uiPriority w:val="99"/>
    <w:unhideWhenUsed w:val="1"/>
    <w:rsid w:val="00AC3A2B"/>
    <w:pPr>
      <w:tabs>
        <w:tab w:val="center" w:pos="4513"/>
        <w:tab w:val="right" w:pos="9026"/>
      </w:tabs>
    </w:pPr>
  </w:style>
  <w:style w:type="character" w:styleId="FooterChar" w:customStyle="1">
    <w:name w:val="Footer Char"/>
    <w:basedOn w:val="DefaultParagraphFont"/>
    <w:link w:val="Footer"/>
    <w:uiPriority w:val="99"/>
    <w:rsid w:val="00AC3A2B"/>
    <w:rPr>
      <w:rFonts w:ascii="Arial" w:cs="Arial" w:eastAsia="Arial" w:hAnsi="Arial"/>
      <w:kern w:val="0"/>
    </w:rPr>
  </w:style>
  <w:style w:type="paragraph" w:styleId="Customisabledocumentheading" w:customStyle="1">
    <w:name w:val="Customisable document heading"/>
    <w:basedOn w:val="Normal"/>
    <w:next w:val="Normal"/>
    <w:uiPriority w:val="99"/>
    <w:rsid w:val="00FC635C"/>
    <w:pPr>
      <w:widowControl w:val="1"/>
      <w:autoSpaceDE w:val="1"/>
      <w:autoSpaceDN w:val="1"/>
    </w:pPr>
    <w:rPr>
      <w:rFonts w:eastAsia="Times New Roman"/>
      <w:b w:val="1"/>
      <w:bCs w:val="1"/>
    </w:rPr>
  </w:style>
  <w:style w:type="paragraph" w:styleId="PolicyHeading" w:customStyle="1">
    <w:name w:val="Policy Heading"/>
    <w:basedOn w:val="Heading1"/>
    <w:link w:val="PolicyHeadingChar"/>
    <w:qFormat w:val="1"/>
    <w:rsid w:val="00C1719E"/>
    <w:rPr>
      <w:rFonts w:ascii="Trebuchet MS" w:hAnsi="Trebuchet MS"/>
    </w:rPr>
  </w:style>
  <w:style w:type="character" w:styleId="PolicyHeadingChar" w:customStyle="1">
    <w:name w:val="Policy Heading Char"/>
    <w:basedOn w:val="Heading1Char"/>
    <w:link w:val="PolicyHeading"/>
    <w:rsid w:val="00C1719E"/>
    <w:rPr>
      <w:rFonts w:ascii="Trebuchet MS" w:cs="Arial" w:eastAsia="Arial" w:hAnsi="Trebuchet MS"/>
      <w:b w:val="1"/>
      <w:bCs w:val="1"/>
      <w:kern w:val="0"/>
      <w:sz w:val="24"/>
      <w:szCs w:val="24"/>
    </w:rPr>
  </w:style>
  <w:style w:type="paragraph" w:styleId="TOCHeading">
    <w:name w:val="TOC Heading"/>
    <w:basedOn w:val="Heading1"/>
    <w:next w:val="Normal"/>
    <w:uiPriority w:val="39"/>
    <w:unhideWhenUsed w:val="1"/>
    <w:qFormat w:val="1"/>
    <w:rsid w:val="00365A20"/>
    <w:pPr>
      <w:keepNext w:val="1"/>
      <w:keepLines w:val="1"/>
      <w:widowControl w:val="1"/>
      <w:autoSpaceDE w:val="1"/>
      <w:autoSpaceDN w:val="1"/>
      <w:spacing w:before="240" w:line="259" w:lineRule="auto"/>
      <w:ind w:left="0"/>
      <w:outlineLvl w:val="9"/>
    </w:pPr>
    <w:rPr>
      <w:rFonts w:asciiTheme="majorHAnsi" w:cstheme="majorBidi" w:eastAsiaTheme="majorEastAsia" w:hAnsiTheme="majorHAnsi"/>
      <w:b w:val="0"/>
      <w:bCs w:val="0"/>
      <w:color w:val="2f5496" w:themeColor="accent1" w:themeShade="0000BF"/>
      <w:sz w:val="32"/>
      <w:szCs w:val="32"/>
      <w:lang w:val="en-US"/>
    </w:rPr>
  </w:style>
  <w:style w:type="paragraph" w:styleId="TOC1">
    <w:name w:val="toc 1"/>
    <w:basedOn w:val="Normal"/>
    <w:next w:val="Normal"/>
    <w:autoRedefine w:val="1"/>
    <w:uiPriority w:val="39"/>
    <w:unhideWhenUsed w:val="1"/>
    <w:rsid w:val="00365A20"/>
    <w:pPr>
      <w:spacing w:after="100"/>
    </w:pPr>
    <w:rPr>
      <w:rFonts w:ascii="Trebuchet MS" w:hAnsi="Trebuchet MS"/>
      <w:sz w:val="24"/>
    </w:rPr>
  </w:style>
  <w:style w:type="character" w:styleId="Hyperlink">
    <w:name w:val="Hyperlink"/>
    <w:basedOn w:val="DefaultParagraphFont"/>
    <w:uiPriority w:val="99"/>
    <w:unhideWhenUsed w:val="1"/>
    <w:rsid w:val="00365A20"/>
    <w:rPr>
      <w:color w:val="0563c1" w:themeColor="hyperlink"/>
      <w:u w:val="single"/>
    </w:rPr>
  </w:style>
  <w:style w:type="table" w:styleId="TableGrid">
    <w:name w:val="Table Grid"/>
    <w:basedOn w:val="TableNormal"/>
    <w:uiPriority w:val="59"/>
    <w:rsid w:val="008B4028"/>
    <w:pPr>
      <w:spacing w:after="0" w:line="240" w:lineRule="auto"/>
    </w:pPr>
    <w:rPr>
      <w:rFonts w:ascii="Times New Roman" w:cs="Times New Roman" w:eastAsia="Times New Roman" w:hAnsi="Times New Roman"/>
      <w:kern w:val="0"/>
      <w:sz w:val="20"/>
      <w:szCs w:val="20"/>
      <w:lang w:eastAsia="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2">
    <w:name w:val="toc 2"/>
    <w:basedOn w:val="Normal"/>
    <w:next w:val="Normal"/>
    <w:autoRedefine w:val="1"/>
    <w:uiPriority w:val="39"/>
    <w:unhideWhenUsed w:val="1"/>
    <w:rsid w:val="00E04C83"/>
    <w:pPr>
      <w:spacing w:after="100"/>
      <w:ind w:left="220"/>
    </w:pPr>
  </w:style>
  <w:style w:type="paragraph" w:styleId="Revision">
    <w:name w:val="Revision"/>
    <w:hidden w:val="1"/>
    <w:uiPriority w:val="99"/>
    <w:semiHidden w:val="1"/>
    <w:rsid w:val="00FF3452"/>
    <w:pPr>
      <w:spacing w:after="0" w:line="240" w:lineRule="auto"/>
    </w:pPr>
    <w:rPr>
      <w:rFonts w:ascii="Arial" w:cs="Arial" w:eastAsia="Arial" w:hAnsi="Arial"/>
      <w:kern w:val="0"/>
    </w:rPr>
  </w:style>
  <w:style w:type="paragraph" w:styleId="CommentText">
    <w:name w:val="annotation text"/>
    <w:basedOn w:val="Normal"/>
    <w:link w:val="CommentTextChar"/>
    <w:uiPriority w:val="99"/>
    <w:unhideWhenUsed w:val="1"/>
    <w:rsid w:val="00BB6E9A"/>
    <w:rPr>
      <w:sz w:val="20"/>
      <w:szCs w:val="20"/>
    </w:rPr>
  </w:style>
  <w:style w:type="character" w:styleId="CommentTextChar" w:customStyle="1">
    <w:name w:val="Comment Text Char"/>
    <w:basedOn w:val="DefaultParagraphFont"/>
    <w:link w:val="CommentText"/>
    <w:uiPriority w:val="99"/>
    <w:rsid w:val="00BB6E9A"/>
    <w:rPr>
      <w:rFonts w:ascii="Arial" w:cs="Arial" w:eastAsia="Arial" w:hAnsi="Arial"/>
      <w:kern w:val="0"/>
      <w:sz w:val="20"/>
      <w:szCs w:val="20"/>
    </w:rPr>
  </w:style>
  <w:style w:type="character" w:styleId="CommentReference">
    <w:name w:val="annotation reference"/>
    <w:basedOn w:val="DefaultParagraphFont"/>
    <w:uiPriority w:val="99"/>
    <w:semiHidden w:val="1"/>
    <w:unhideWhenUsed w:val="1"/>
    <w:rsid w:val="00BB6E9A"/>
    <w:rPr>
      <w:sz w:val="16"/>
      <w:szCs w:val="16"/>
    </w:rPr>
  </w:style>
  <w:style w:type="paragraph" w:styleId="CommentSubject">
    <w:name w:val="annotation subject"/>
    <w:basedOn w:val="CommentText"/>
    <w:next w:val="CommentText"/>
    <w:link w:val="CommentSubjectChar"/>
    <w:uiPriority w:val="99"/>
    <w:semiHidden w:val="1"/>
    <w:unhideWhenUsed w:val="1"/>
    <w:rsid w:val="006D3915"/>
    <w:rPr>
      <w:b w:val="1"/>
      <w:bCs w:val="1"/>
    </w:rPr>
  </w:style>
  <w:style w:type="character" w:styleId="CommentSubjectChar" w:customStyle="1">
    <w:name w:val="Comment Subject Char"/>
    <w:basedOn w:val="CommentTextChar"/>
    <w:link w:val="CommentSubject"/>
    <w:uiPriority w:val="99"/>
    <w:semiHidden w:val="1"/>
    <w:rsid w:val="006D3915"/>
    <w:rPr>
      <w:rFonts w:ascii="Arial" w:cs="Arial" w:eastAsia="Arial" w:hAnsi="Arial"/>
      <w:b w:val="1"/>
      <w:bCs w:val="1"/>
      <w:kern w:val="0"/>
      <w:sz w:val="20"/>
      <w:szCs w:val="20"/>
    </w:rPr>
  </w:style>
  <w:style w:type="paragraph" w:styleId="ListParagraph">
    <w:name w:val="List Paragraph"/>
    <w:basedOn w:val="Normal"/>
    <w:uiPriority w:val="34"/>
    <w:qFormat w:val="1"/>
    <w:rsid w:val="00B12860"/>
    <w:pPr>
      <w:ind w:left="720"/>
      <w:contextualSpacing w:val="1"/>
    </w:pPr>
  </w:style>
  <w:style w:type="character" w:styleId="normaltextrun" w:customStyle="1">
    <w:name w:val="normaltextrun"/>
    <w:basedOn w:val="DefaultParagraphFont"/>
    <w:rsid w:val="00A736ED"/>
  </w:style>
  <w:style w:type="paragraph" w:styleId="FootnoteText">
    <w:name w:val="footnote text"/>
    <w:basedOn w:val="Normal"/>
    <w:link w:val="FootnoteTextChar"/>
    <w:uiPriority w:val="99"/>
    <w:semiHidden w:val="1"/>
    <w:unhideWhenUsed w:val="1"/>
    <w:rsid w:val="00634F90"/>
    <w:pPr>
      <w:widowControl w:val="1"/>
      <w:autoSpaceDE w:val="1"/>
      <w:autoSpaceDN w:val="1"/>
    </w:pPr>
    <w:rPr>
      <w:rFonts w:asciiTheme="minorHAnsi" w:cstheme="minorBidi" w:eastAsiaTheme="minorHAnsi" w:hAnsiTheme="minorHAnsi"/>
      <w:sz w:val="20"/>
      <w:szCs w:val="20"/>
    </w:rPr>
  </w:style>
  <w:style w:type="character" w:styleId="FootnoteTextChar" w:customStyle="1">
    <w:name w:val="Footnote Text Char"/>
    <w:basedOn w:val="DefaultParagraphFont"/>
    <w:link w:val="FootnoteText"/>
    <w:uiPriority w:val="99"/>
    <w:semiHidden w:val="1"/>
    <w:rsid w:val="00634F90"/>
    <w:rPr>
      <w:kern w:val="0"/>
      <w:sz w:val="20"/>
      <w:szCs w:val="20"/>
    </w:rPr>
  </w:style>
  <w:style w:type="character" w:styleId="FootnoteReference">
    <w:name w:val="footnote reference"/>
    <w:basedOn w:val="DefaultParagraphFont"/>
    <w:uiPriority w:val="99"/>
    <w:semiHidden w:val="1"/>
    <w:unhideWhenUsed w:val="1"/>
    <w:rsid w:val="00634F90"/>
    <w:rPr>
      <w:vertAlign w:val="superscript"/>
    </w:rPr>
  </w:style>
  <w:style w:type="paragraph" w:styleId="NoSpacing">
    <w:name w:val="No Spacing"/>
    <w:uiPriority w:val="1"/>
    <w:qFormat w:val="1"/>
    <w:rsid w:val="000C146B"/>
    <w:pPr>
      <w:spacing w:after="0" w:line="240" w:lineRule="auto"/>
    </w:pPr>
    <w:rPr>
      <w:rFonts w:ascii="Calibri" w:cs="Times New Roman" w:eastAsia="Calibri" w:hAnsi="Calibri"/>
      <w:kern w:val="0"/>
    </w:rPr>
  </w:style>
  <w:style w:type="paragraph" w:styleId="NormalWeb">
    <w:name w:val="Normal (Web)"/>
    <w:basedOn w:val="Normal"/>
    <w:uiPriority w:val="99"/>
    <w:semiHidden w:val="1"/>
    <w:unhideWhenUsed w:val="1"/>
    <w:rsid w:val="000C146B"/>
    <w:pPr>
      <w:widowControl w:val="1"/>
      <w:autoSpaceDE w:val="1"/>
      <w:autoSpaceDN w:val="1"/>
      <w:spacing w:after="100" w:afterAutospacing="1" w:before="100" w:beforeAutospacing="1"/>
    </w:pPr>
    <w:rPr>
      <w:rFonts w:ascii="Times New Roman" w:cs="Times New Roman" w:eastAsia="Times New Roman" w:hAnsi="Times New Roman"/>
      <w:sz w:val="24"/>
      <w:szCs w:val="24"/>
      <w:lang w:eastAsia="en-GB"/>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nvr5828k4rOLmKZdewnLg/SJ/w==">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2025-09-17T12:31:00Z</dcterms:created>
  <dc:creator>Dean Bruce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0x010100797FCB89037FAC4C8C855C468840AC5A</vt:lpwstr>
  </property>
  <property fmtid="{D5CDD505-2E9C-101B-9397-08002B2CF9AE}" pid="3" name="MediaServiceImageTags">
    <vt:lpwstr/>
  </property>
</Properties>
</file>