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80" w:after="220"/>
      </w:pPr>
      <w:r>
        <w:rPr>
          <w:rFonts w:ascii="Arial" w:hAnsi="Arial"/>
          <w:b/>
          <w:color w:val="000000"/>
          <w:sz w:val="30"/>
        </w:rPr>
        <w:t>The ReConnect Programme - Multi-Sports Activity Risk Assessment</w:t>
      </w:r>
    </w:p>
    <w:p>
      <w:pPr>
        <w:tabs>
          <w:tab w:pos="2520" w:val="left"/>
        </w:tabs>
        <w:spacing w:after="20" w:line="240" w:lineRule="auto"/>
        <w:ind w:left="115"/>
      </w:pPr>
      <w:r>
        <w:rPr>
          <w:rFonts w:ascii="Arial" w:hAnsi="Arial"/>
          <w:b/>
          <w:color w:val="000000"/>
          <w:sz w:val="19"/>
        </w:rPr>
        <w:t>OWNERSHIP:</w:t>
      </w:r>
      <w:r>
        <w:rPr>
          <w:rFonts w:ascii="Arial" w:hAnsi="Arial"/>
          <w:color w:val="000000"/>
          <w:sz w:val="19"/>
        </w:rPr>
        <w:tab/>
        <w:t>The ReConnect Programme</w:t>
      </w:r>
    </w:p>
    <w:p>
      <w:pPr>
        <w:tabs>
          <w:tab w:pos="2520" w:val="left"/>
        </w:tabs>
        <w:spacing w:after="20" w:line="240" w:lineRule="auto"/>
        <w:ind w:left="115"/>
      </w:pPr>
      <w:r>
        <w:rPr>
          <w:rFonts w:ascii="Arial" w:hAnsi="Arial"/>
          <w:b/>
          <w:color w:val="000000"/>
          <w:sz w:val="19"/>
        </w:rPr>
        <w:t>ACTIVITY / SITE:</w:t>
      </w:r>
      <w:r>
        <w:rPr>
          <w:rFonts w:ascii="Arial" w:hAnsi="Arial"/>
          <w:color w:val="000000"/>
          <w:sz w:val="19"/>
        </w:rPr>
        <w:tab/>
        <w:t>Indoor and outdoor sports, fitness and team activities</w:t>
      </w:r>
    </w:p>
    <w:p>
      <w:pPr>
        <w:tabs>
          <w:tab w:pos="2520" w:val="left"/>
        </w:tabs>
        <w:spacing w:after="20" w:line="240" w:lineRule="auto"/>
        <w:ind w:left="115"/>
      </w:pPr>
      <w:r>
        <w:rPr>
          <w:rFonts w:ascii="Arial" w:hAnsi="Arial"/>
          <w:b/>
          <w:color w:val="000000"/>
          <w:sz w:val="19"/>
        </w:rPr>
        <w:t>LOCATION:</w:t>
      </w:r>
      <w:r>
        <w:rPr>
          <w:rFonts w:ascii="Arial" w:hAnsi="Arial"/>
          <w:color w:val="000000"/>
          <w:sz w:val="19"/>
        </w:rPr>
        <w:tab/>
        <w:t>Thurston Park, Sports Barn, public parks and approved venues</w:t>
      </w:r>
    </w:p>
    <w:p>
      <w:pPr>
        <w:tabs>
          <w:tab w:pos="2520" w:val="left"/>
        </w:tabs>
        <w:spacing w:after="20" w:line="240" w:lineRule="auto"/>
        <w:ind w:left="115"/>
      </w:pPr>
      <w:r>
        <w:rPr>
          <w:rFonts w:ascii="Arial" w:hAnsi="Arial"/>
          <w:b/>
          <w:color w:val="000000"/>
          <w:sz w:val="19"/>
        </w:rPr>
        <w:t>ASSESSOR:</w:t>
      </w:r>
      <w:r>
        <w:rPr>
          <w:rFonts w:ascii="Arial" w:hAnsi="Arial"/>
          <w:color w:val="000000"/>
          <w:sz w:val="19"/>
        </w:rPr>
        <w:tab/>
        <w:t>Head of Provision / Sports Lead</w:t>
      </w:r>
    </w:p>
    <w:p>
      <w:pPr>
        <w:tabs>
          <w:tab w:pos="2520" w:val="left"/>
        </w:tabs>
        <w:spacing w:after="20" w:line="240" w:lineRule="auto"/>
        <w:ind w:left="115"/>
      </w:pPr>
      <w:r>
        <w:rPr>
          <w:rFonts w:ascii="Arial" w:hAnsi="Arial"/>
          <w:b/>
          <w:color w:val="000000"/>
          <w:sz w:val="19"/>
        </w:rPr>
        <w:t>DATE REVIEWED:</w:t>
      </w:r>
      <w:r>
        <w:rPr>
          <w:rFonts w:ascii="Arial" w:hAnsi="Arial"/>
          <w:color w:val="000000"/>
          <w:sz w:val="19"/>
        </w:rPr>
        <w:tab/>
        <w:t>September 2026</w:t>
      </w:r>
    </w:p>
    <w:p>
      <w:pPr>
        <w:tabs>
          <w:tab w:pos="2520" w:val="left"/>
        </w:tabs>
        <w:spacing w:after="20" w:line="240" w:lineRule="auto"/>
        <w:ind w:left="115"/>
      </w:pPr>
      <w:r>
        <w:rPr>
          <w:rFonts w:ascii="Arial" w:hAnsi="Arial"/>
          <w:b/>
          <w:color w:val="000000"/>
          <w:sz w:val="19"/>
        </w:rPr>
        <w:t>AUTHORISED BY:</w:t>
      </w:r>
      <w:r>
        <w:rPr>
          <w:rFonts w:ascii="Arial" w:hAnsi="Arial"/>
          <w:color w:val="000000"/>
          <w:sz w:val="19"/>
        </w:rPr>
        <w:tab/>
        <w:t>Chief Operating Officer</w:t>
      </w:r>
    </w:p>
    <w:p>
      <w:pPr>
        <w:tabs>
          <w:tab w:pos="2520" w:val="left"/>
        </w:tabs>
        <w:spacing w:after="20" w:line="240" w:lineRule="auto"/>
        <w:ind w:left="115"/>
      </w:pPr>
      <w:r>
        <w:rPr>
          <w:rFonts w:ascii="Arial" w:hAnsi="Arial"/>
          <w:b/>
          <w:color w:val="000000"/>
          <w:sz w:val="19"/>
        </w:rPr>
        <w:t>NEXT REVIEW:</w:t>
      </w:r>
      <w:r>
        <w:rPr>
          <w:rFonts w:ascii="Arial" w:hAnsi="Arial"/>
          <w:color w:val="000000"/>
          <w:sz w:val="19"/>
        </w:rPr>
        <w:tab/>
        <w:t>September 2027</w:t>
      </w:r>
    </w:p>
    <w:p>
      <w:pPr>
        <w:spacing w:after="280"/>
        <w:pBdr>
          <w:bottom w:val="single" w:sz="8" w:space="1" w:color="000000"/>
        </w:pBdr>
      </w:pPr>
    </w:p>
    <w:p>
      <w:pPr>
        <w:pStyle w:val="Heading1"/>
        <w:keepNext/>
      </w:pPr>
      <w:r>
        <w:t>Purpose and Scope</w:t>
      </w:r>
    </w:p>
    <w:p>
      <w:r>
        <w:rPr>
          <w:rFonts w:ascii="Arial" w:hAnsi="Arial"/>
          <w:color w:val="000000"/>
        </w:rPr>
        <w:t>This assessment covers football, basketball, tennis, badminton, table tennis, cricket, rounders, dodgeball, athletics, fitness circuits, strength and conditioning, boxercise, multi-skills, team-building activities and other approved sports.</w:t>
      </w:r>
    </w:p>
    <w:p>
      <w:r>
        <w:rPr>
          <w:rFonts w:ascii="Arial" w:hAnsi="Arial"/>
          <w:color w:val="000000"/>
        </w:rPr>
        <w:t>Martial arts, climbing, jump biking and other higher-risk activities must also follow their specific assessment and competent-instructor requirements. Delivery is normally one-to-one or in small groups and is adapted to participant need.</w:t>
      </w:r>
    </w:p>
    <w:p>
      <w:pPr>
        <w:pStyle w:val="Heading1"/>
        <w:keepNext/>
      </w:pPr>
      <w:r>
        <w:t>Persons at Risk</w:t>
      </w:r>
    </w:p>
    <w:p>
      <w:pPr>
        <w:pStyle w:val="ListBullet"/>
        <w:keepLines/>
        <w:spacing w:after="60" w:line="264" w:lineRule="auto"/>
      </w:pPr>
      <w:r>
        <w:t>Young people and adult participants</w:t>
      </w:r>
    </w:p>
    <w:p>
      <w:pPr>
        <w:pStyle w:val="ListBullet"/>
        <w:keepLines/>
        <w:spacing w:after="60" w:line="264" w:lineRule="auto"/>
      </w:pPr>
      <w:r>
        <w:t>Staff, coaches and instructors</w:t>
      </w:r>
    </w:p>
    <w:p>
      <w:pPr>
        <w:pStyle w:val="ListBullet"/>
        <w:keepLines/>
        <w:spacing w:after="60" w:line="264" w:lineRule="auto"/>
      </w:pPr>
      <w:r>
        <w:t>Visitors, observers and members of the public</w:t>
      </w:r>
    </w:p>
    <w:p>
      <w:pPr>
        <w:pStyle w:val="Heading1"/>
        <w:keepNext/>
      </w:pPr>
      <w:r>
        <w:t>Risk Rating</w:t>
      </w:r>
    </w:p>
    <w:p>
      <w:r>
        <w:rPr>
          <w:rFonts w:ascii="Arial" w:hAnsi="Arial"/>
          <w:color w:val="000000"/>
        </w:rPr>
        <w:t>Residual ratings show the level of risk remaining when all controls are applied. Low: acceptable with controls maintained. Medium: activity may proceed only with active monitoring and any stated additional action. High: activity must not proceed until the risk is reduced and authorised.</w:t>
      </w:r>
    </w:p>
    <w:p>
      <w:pPr>
        <w:pStyle w:val="Heading1"/>
        <w:keepNext/>
        <w:pageBreakBefore/>
      </w:pPr>
      <w:r>
        <w:t>Risk Assessment</w:t>
      </w:r>
    </w:p>
    <w:tbl>
      <w:tblPr>
        <w:tblStyle w:val="TableGrid"/>
        <w:tblW w:type="dxa" w:w="9360"/>
        <w:jc w:val="left"/>
        <w:tblLayout w:type="fixed"/>
        <w:tblLook w:firstColumn="1" w:firstRow="1" w:lastColumn="0" w:lastRow="0" w:noHBand="0" w:noVBand="1" w:val="04A0"/>
        <w:tblInd w:w="100" w:type="dxa"/>
      </w:tblPr>
      <w:tblGrid>
        <w:gridCol w:w="2200"/>
        <w:gridCol w:w="1200"/>
        <w:gridCol w:w="4900"/>
        <w:gridCol w:w="1060"/>
      </w:tblGrid>
      <w:tr>
        <w:trPr>
          <w:tblHeader w:val="true"/>
          <w:cantSplit/>
        </w:trPr>
        <w:tc>
          <w:tcPr>
            <w:tcW w:type="dxa" w:w="2200"/>
            <w:tcMar>
              <w:top w:w="70" w:type="dxa"/>
              <w:start w:w="100" w:type="dxa"/>
              <w:bottom w:w="70" w:type="dxa"/>
              <w:end w:w="100" w:type="dxa"/>
            </w:tcMar>
            <w:vAlign w:val="top"/>
          </w:tcPr>
          <w:p>
            <w:pPr>
              <w:spacing w:after="20" w:line="240" w:lineRule="auto"/>
            </w:pPr>
            <w:r>
              <w:rPr>
                <w:rFonts w:ascii="Arial" w:hAnsi="Arial"/>
                <w:b/>
                <w:color w:val="000000"/>
                <w:sz w:val="16"/>
              </w:rPr>
              <w:t>Hazard and potential harm</w:t>
            </w:r>
          </w:p>
        </w:tc>
        <w:tc>
          <w:tcPr>
            <w:tcW w:type="dxa" w:w="1200"/>
            <w:tcMar>
              <w:top w:w="70" w:type="dxa"/>
              <w:start w:w="100" w:type="dxa"/>
              <w:bottom w:w="70" w:type="dxa"/>
              <w:end w:w="100" w:type="dxa"/>
            </w:tcMar>
            <w:vAlign w:val="top"/>
          </w:tcPr>
          <w:p>
            <w:pPr>
              <w:spacing w:after="20" w:line="240" w:lineRule="auto"/>
            </w:pPr>
            <w:r>
              <w:rPr>
                <w:rFonts w:ascii="Arial" w:hAnsi="Arial"/>
                <w:b/>
                <w:color w:val="000000"/>
                <w:sz w:val="16"/>
              </w:rPr>
              <w:t>Who may be harmed</w:t>
            </w:r>
          </w:p>
        </w:tc>
        <w:tc>
          <w:tcPr>
            <w:tcW w:type="dxa" w:w="4900"/>
            <w:tcMar>
              <w:top w:w="70" w:type="dxa"/>
              <w:start w:w="100" w:type="dxa"/>
              <w:bottom w:w="70" w:type="dxa"/>
              <w:end w:w="100" w:type="dxa"/>
            </w:tcMar>
            <w:vAlign w:val="top"/>
          </w:tcPr>
          <w:p>
            <w:pPr>
              <w:spacing w:after="20" w:line="240" w:lineRule="auto"/>
            </w:pPr>
            <w:r>
              <w:rPr>
                <w:rFonts w:ascii="Arial" w:hAnsi="Arial"/>
                <w:b/>
                <w:color w:val="000000"/>
                <w:sz w:val="16"/>
              </w:rPr>
              <w:t>Control measures and further action</w:t>
            </w:r>
          </w:p>
        </w:tc>
        <w:tc>
          <w:tcPr>
            <w:tcW w:type="dxa" w:w="1060"/>
            <w:tcMar>
              <w:top w:w="70" w:type="dxa"/>
              <w:start w:w="100" w:type="dxa"/>
              <w:bottom w:w="70" w:type="dxa"/>
              <w:end w:w="100" w:type="dxa"/>
            </w:tcMar>
            <w:vAlign w:val="top"/>
          </w:tcPr>
          <w:p>
            <w:pPr>
              <w:spacing w:after="20" w:line="240" w:lineRule="auto"/>
            </w:pPr>
            <w:r>
              <w:rPr>
                <w:rFonts w:ascii="Arial" w:hAnsi="Arial"/>
                <w:b/>
                <w:color w:val="000000"/>
                <w:sz w:val="16"/>
              </w:rPr>
              <w:t>Residual risk</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Slips, trips and falls</w:t>
              <w:br/>
              <w:t>Sprains, fractures or head injury</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All</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Pre-session inspection indoors and outdoors. Wet areas addressed; unsafe ground avoided. Boundaries clear and unused equipment removed. Suitable footwear required. Staff supervise higher-risk zones. SEND adjustments include visual boundaries, demonstrations, calm transitions and increased support for poor spatial awareness.</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L-M</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Collision, ball impact or tackling</w:t>
              <w:br/>
              <w:t>Impact injury or concussion</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Participants; staff</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Structured warm-up; age, size, competence and behaviour considered. Participant numbers controlled. Non-contact rules unless specifically planned. Stop signal taught. Goals secured and protective equipment used where required. Suspected concussion managed conservatively with no same-session return.</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M</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Behavioural escalation or unsafe competition</w:t>
              <w:br/>
              <w:t>Conflict, aggression or emotional distress</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All</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Trauma-informed delivery and pre-agreed boundaries. Staff trained in de-escalation. Competition reduced or removed where unsuitable. Regulation breaks and one-to-one support available. Activity stopped if instructions cannot be followed safely. Restorative and safeguarding procedures used after incidents.</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L-M</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Medical emergency</w:t>
              <w:br/>
              <w:t>Asthma, seizure, allergic reaction or cardiac event</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Participants</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Current medical information reviewed. Medication and emergency contacts accessible. First-aid provision and emergency access confirmed. Intensity adjusted to health, fitness and presentation. Staff monitor symptoms and call 999 where required.</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L</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Equipment failure</w:t>
              <w:br/>
              <w:t>Crush, impact or entrapment injury</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All</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Inspection log maintained. Goals, nets, mats, weights and fixtures secured and used within limits. Damaged equipment removed from use. No unsupervised access. Manufacturer and competent-person inspection requirements followed.</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L</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Manual handling</w:t>
              <w:br/>
              <w:t>Back strain or crush injury</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Staff; participants</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Heavy equipment moved by suitable staff using team lift or aid. Safe technique taught. Participants do not lift beyond assessed capability. Storage and setup planned to minimise handling.</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L</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Overexertion, dehydration or poor technique</w:t>
              <w:br/>
              <w:t>Strain, fainting or repetitive injury</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Participants</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Progressive warm-up and cool-down. Hydration and rest breaks. Activity and loading matched to competence; no maximal lifts. Technique demonstrated and corrected. Visible fatigue monitored. Effort prioritised over performance.</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L</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Outdoor terrain, weather and public access</w:t>
              <w:br/>
              <w:t>Falls, heat/cold illness or safeguarding concern</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All</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Site and weather checked. Suitable clothing, hydration, shade and contingency venue. Clear meeting point and headcounts. Staff positioned visibly; no unsupervised wandering. Activity cancelled in unsafe conditions. Off-Site Visits Policy followed.</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M</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Martial arts or boxercise contact</w:t>
              <w:br/>
              <w:t>Joint strain, bruising or safeguarding breach</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Participants</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Specific martial arts assessment followed. Qualified instructor. Controlled technique drills, appropriate PPE and no unsupervised sparring. Contact boundaries explained and consent respected.</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M</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Climbing or bouldering</w:t>
              <w:br/>
              <w:t>Fall from height</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Participants</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Only at approved facility or approved setup with competent supervision. Facility rules, matting, equipment and participant restrictions followed. Separate activity-specific assessment required.</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M</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Jump biking</w:t>
              <w:br/>
              <w:t>Falls and impact injury</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Participants</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Bike and helmet checked. Skill level assessed progressively before features. Suitable protective equipment and competent supervision. Specific route or facility assessment followed.</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M</w:t>
            </w:r>
          </w:p>
        </w:tc>
      </w:tr>
    </w:tbl>
    <w:p>
      <w:pPr>
        <w:pStyle w:val="Heading1"/>
        <w:keepNext/>
      </w:pPr>
      <w:r>
        <w:t>Supervision and Safeguarding</w:t>
      </w:r>
    </w:p>
    <w:p>
      <w:r>
        <w:rPr>
          <w:rFonts w:ascii="Arial" w:hAnsi="Arial"/>
          <w:color w:val="000000"/>
        </w:rPr>
        <w:t>Supervision is determined by activity, environment and individual need. One-to-one support will be used where required by the young person's plan. Structured groups will not normally exceed one competent adult to six participants, and the ratio will be reduced for off-site, high-energy or higher-risk activity. All safeguarding concerns are reported immediately to the DSL.</w:t>
      </w:r>
    </w:p>
    <w:p>
      <w:pPr>
        <w:pStyle w:val="Heading1"/>
        <w:keepNext/>
      </w:pPr>
      <w:r>
        <w:t>Emergency and Incident Arrangements</w:t>
      </w:r>
    </w:p>
    <w:p>
      <w:pPr>
        <w:pStyle w:val="ListBullet"/>
        <w:keepLines/>
        <w:spacing w:after="60" w:line="264" w:lineRule="auto"/>
      </w:pPr>
      <w:r>
        <w:t>Protect life, stop the activity and provide first aid within competence.</w:t>
      </w:r>
    </w:p>
    <w:p>
      <w:pPr>
        <w:pStyle w:val="ListBullet"/>
        <w:keepLines/>
        <w:spacing w:after="60" w:line="264" w:lineRule="auto"/>
      </w:pPr>
      <w:r>
        <w:t>Call 999 without delay for a serious or life-threatening emergency.</w:t>
      </w:r>
    </w:p>
    <w:p>
      <w:pPr>
        <w:pStyle w:val="ListBullet"/>
        <w:keepLines/>
        <w:spacing w:after="60" w:line="264" w:lineRule="auto"/>
      </w:pPr>
      <w:r>
        <w:t>Account for all young people and maintain safe supervision.</w:t>
      </w:r>
    </w:p>
    <w:p>
      <w:pPr>
        <w:pStyle w:val="ListBullet"/>
        <w:keepLines/>
        <w:spacing w:after="60" w:line="264" w:lineRule="auto"/>
      </w:pPr>
      <w:r>
        <w:t>Notify the Head of Provision or ReConnect emergency contact as soon as practicable.</w:t>
      </w:r>
    </w:p>
    <w:p>
      <w:pPr>
        <w:pStyle w:val="ListBullet"/>
        <w:keepLines/>
        <w:spacing w:after="60" w:line="264" w:lineRule="auto"/>
      </w:pPr>
      <w:r>
        <w:t>Record accidents, incidents, near misses and safeguarding concerns under ReConnect procedures; consider RIDDOR where applicable.</w:t>
      </w:r>
    </w:p>
    <w:p>
      <w:pPr>
        <w:pStyle w:val="Heading1"/>
        <w:keepNext/>
      </w:pPr>
      <w:r>
        <w:t>Dynamic Assessment, Monitoring and Review</w:t>
      </w:r>
    </w:p>
    <w:p>
      <w:r>
        <w:rPr>
          <w:rFonts w:ascii="Arial" w:hAnsi="Arial"/>
          <w:color w:val="000000"/>
        </w:rPr>
        <w:t>The lead member of staff will dynamically assess conditions, participant presentation, staffing, equipment and environmental change throughout the activity. Staff have authority to pause, modify or stop the activity immediately if controls are not effective or risk increases.</w:t>
      </w:r>
    </w:p>
    <w:p>
      <w:r>
        <w:rPr>
          <w:rFonts w:ascii="Arial" w:hAnsi="Arial"/>
          <w:color w:val="000000"/>
        </w:rPr>
        <w:t>This assessment will be reviewed at least annually and sooner following a significant incident, near miss, change in activity, equipment, venue, participant needs, staffing, law or guidance. Relevant learning will be recorded and controls updated.</w:t>
      </w:r>
    </w:p>
    <w:sectPr w:rsidR="00FC693F" w:rsidRPr="0006063C" w:rsidSect="00034616">
      <w:headerReference w:type="default" r:id="rId9"/>
      <w:footerReference w:type="default" r:id="rId10"/>
      <w:pgSz w:w="11909" w:h="16834"/>
      <w:pgMar w:top="691" w:right="576" w:bottom="691" w:left="576" w:header="288"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line="240" w:lineRule="auto"/>
      <w:outlineLvl w:val="0"/>
    </w:pPr>
    <w:rPr>
      <w:rFonts w:asciiTheme="majorHAnsi" w:eastAsiaTheme="majorEastAsia" w:hAnsiTheme="majorHAnsi" w:cstheme="majorBidi" w:ascii="Arial" w:hAnsi="Arial"/>
      <w:b/>
      <w:bCs/>
      <w:color w:val="000000"/>
      <w:sz w:val="23"/>
      <w:szCs w:val="28"/>
    </w:rPr>
  </w:style>
  <w:style w:type="paragraph" w:styleId="Heading2">
    <w:name w:val="heading 2"/>
    <w:basedOn w:val="Normal"/>
    <w:next w:val="Normal"/>
    <w:link w:val="Heading2Char"/>
    <w:uiPriority w:val="9"/>
    <w:unhideWhenUsed/>
    <w:qFormat/>
    <w:rsid w:val="00FC693F"/>
    <w:pPr>
      <w:keepNext/>
      <w:keepLines/>
      <w:spacing w:before="200" w:after="60" w:line="240" w:lineRule="auto"/>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ReConnect Programme - Multi-Sports Activity Risk Assessment</dc:title>
  <dc:subject/>
  <dc:creator>The ReConnect Programme</dc:creator>
  <cp:keywords/>
  <dc:description>generated by python-docx</dc:description>
  <cp:lastModifiedBy/>
  <cp:revision>1</cp:revision>
  <dcterms:created xsi:type="dcterms:W3CDTF">2013-12-23T23:15:00Z</dcterms:created>
  <dcterms:modified xsi:type="dcterms:W3CDTF">2013-12-23T23:15:00Z</dcterms:modified>
  <cp:category/>
</cp:coreProperties>
</file>