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680" w:after="220"/>
      </w:pPr>
      <w:r>
        <w:rPr>
          <w:rFonts w:ascii="Arial" w:hAnsi="Arial"/>
          <w:b/>
          <w:color w:val="000000"/>
          <w:sz w:val="30"/>
        </w:rPr>
        <w:t>The ReConnect Programme - Go-Karting Risk Assessment</w:t>
      </w:r>
    </w:p>
    <w:p>
      <w:pPr>
        <w:tabs>
          <w:tab w:pos="2520" w:val="left"/>
        </w:tabs>
        <w:spacing w:after="20" w:line="240" w:lineRule="auto"/>
        <w:ind w:left="115"/>
      </w:pPr>
      <w:r>
        <w:rPr>
          <w:rFonts w:ascii="Arial" w:hAnsi="Arial"/>
          <w:b/>
          <w:color w:val="000000"/>
          <w:sz w:val="19"/>
        </w:rPr>
        <w:t>OWNERSHIP:</w:t>
      </w:r>
      <w:r>
        <w:rPr>
          <w:rFonts w:ascii="Arial" w:hAnsi="Arial"/>
          <w:color w:val="000000"/>
          <w:sz w:val="19"/>
        </w:rPr>
        <w:tab/>
        <w:t>The ReConnect Programme</w:t>
      </w:r>
    </w:p>
    <w:p>
      <w:pPr>
        <w:tabs>
          <w:tab w:pos="2520" w:val="left"/>
        </w:tabs>
        <w:spacing w:after="20" w:line="240" w:lineRule="auto"/>
        <w:ind w:left="115"/>
      </w:pPr>
      <w:r>
        <w:rPr>
          <w:rFonts w:ascii="Arial" w:hAnsi="Arial"/>
          <w:b/>
          <w:color w:val="000000"/>
          <w:sz w:val="19"/>
        </w:rPr>
        <w:t>ACTIVITY / SITE:</w:t>
      </w:r>
      <w:r>
        <w:rPr>
          <w:rFonts w:ascii="Arial" w:hAnsi="Arial"/>
          <w:color w:val="000000"/>
          <w:sz w:val="19"/>
        </w:rPr>
        <w:tab/>
        <w:t>Go-karting and separately approved activities</w:t>
      </w:r>
    </w:p>
    <w:p>
      <w:pPr>
        <w:tabs>
          <w:tab w:pos="2520" w:val="left"/>
        </w:tabs>
        <w:spacing w:after="20" w:line="240" w:lineRule="auto"/>
        <w:ind w:left="115"/>
      </w:pPr>
      <w:r>
        <w:rPr>
          <w:rFonts w:ascii="Arial" w:hAnsi="Arial"/>
          <w:b/>
          <w:color w:val="000000"/>
          <w:sz w:val="19"/>
        </w:rPr>
        <w:t>LOCATION:</w:t>
      </w:r>
      <w:r>
        <w:rPr>
          <w:rFonts w:ascii="Arial" w:hAnsi="Arial"/>
          <w:color w:val="000000"/>
          <w:sz w:val="19"/>
        </w:rPr>
        <w:tab/>
        <w:t>WildTracks or another approved provider</w:t>
      </w:r>
    </w:p>
    <w:p>
      <w:pPr>
        <w:tabs>
          <w:tab w:pos="2520" w:val="left"/>
        </w:tabs>
        <w:spacing w:after="20" w:line="240" w:lineRule="auto"/>
        <w:ind w:left="115"/>
      </w:pPr>
      <w:r>
        <w:rPr>
          <w:rFonts w:ascii="Arial" w:hAnsi="Arial"/>
          <w:b/>
          <w:color w:val="000000"/>
          <w:sz w:val="19"/>
        </w:rPr>
        <w:t>ASSESSOR:</w:t>
      </w:r>
      <w:r>
        <w:rPr>
          <w:rFonts w:ascii="Arial" w:hAnsi="Arial"/>
          <w:color w:val="000000"/>
          <w:sz w:val="19"/>
        </w:rPr>
        <w:tab/>
        <w:t>Chris Sodey / Visit Lead</w:t>
      </w:r>
    </w:p>
    <w:p>
      <w:pPr>
        <w:tabs>
          <w:tab w:pos="2520" w:val="left"/>
        </w:tabs>
        <w:spacing w:after="20" w:line="240" w:lineRule="auto"/>
        <w:ind w:left="115"/>
      </w:pPr>
      <w:r>
        <w:rPr>
          <w:rFonts w:ascii="Arial" w:hAnsi="Arial"/>
          <w:b/>
          <w:color w:val="000000"/>
          <w:sz w:val="19"/>
        </w:rPr>
        <w:t>DATE REVIEWED:</w:t>
      </w:r>
      <w:r>
        <w:rPr>
          <w:rFonts w:ascii="Arial" w:hAnsi="Arial"/>
          <w:color w:val="000000"/>
          <w:sz w:val="19"/>
        </w:rPr>
        <w:tab/>
        <w:t>September 2026</w:t>
      </w:r>
    </w:p>
    <w:p>
      <w:pPr>
        <w:tabs>
          <w:tab w:pos="2520" w:val="left"/>
        </w:tabs>
        <w:spacing w:after="20" w:line="240" w:lineRule="auto"/>
        <w:ind w:left="115"/>
      </w:pPr>
      <w:r>
        <w:rPr>
          <w:rFonts w:ascii="Arial" w:hAnsi="Arial"/>
          <w:b/>
          <w:color w:val="000000"/>
          <w:sz w:val="19"/>
        </w:rPr>
        <w:t>AUTHORISED BY:</w:t>
      </w:r>
      <w:r>
        <w:rPr>
          <w:rFonts w:ascii="Arial" w:hAnsi="Arial"/>
          <w:color w:val="000000"/>
          <w:sz w:val="19"/>
        </w:rPr>
        <w:tab/>
        <w:t>Chief Operating Officer</w:t>
      </w:r>
    </w:p>
    <w:p>
      <w:pPr>
        <w:tabs>
          <w:tab w:pos="2520" w:val="left"/>
        </w:tabs>
        <w:spacing w:after="20" w:line="240" w:lineRule="auto"/>
        <w:ind w:left="115"/>
      </w:pPr>
      <w:r>
        <w:rPr>
          <w:rFonts w:ascii="Arial" w:hAnsi="Arial"/>
          <w:b/>
          <w:color w:val="000000"/>
          <w:sz w:val="19"/>
        </w:rPr>
        <w:t>NEXT REVIEW:</w:t>
      </w:r>
      <w:r>
        <w:rPr>
          <w:rFonts w:ascii="Arial" w:hAnsi="Arial"/>
          <w:color w:val="000000"/>
          <w:sz w:val="19"/>
        </w:rPr>
        <w:tab/>
        <w:t>September 2027</w:t>
      </w:r>
    </w:p>
    <w:p>
      <w:pPr>
        <w:spacing w:after="280"/>
        <w:pBdr>
          <w:bottom w:val="single" w:sz="8" w:space="1" w:color="000000"/>
        </w:pBdr>
      </w:pPr>
    </w:p>
    <w:p>
      <w:pPr>
        <w:pStyle w:val="Heading1"/>
        <w:keepNext/>
      </w:pPr>
      <w:r>
        <w:t>Purpose and Scope</w:t>
      </w:r>
    </w:p>
    <w:p>
      <w:r>
        <w:rPr>
          <w:rFonts w:ascii="Arial" w:hAnsi="Arial"/>
          <w:color w:val="000000"/>
        </w:rPr>
        <w:t>This assessment identifies foreseeable risks associated with a ReConnect visit for go-karting. Off-road driving, archery, paintball, laser tag or obstacle activities are included only when specifically booked, assessed and approved.</w:t>
      </w:r>
    </w:p>
    <w:p>
      <w:r>
        <w:rPr>
          <w:rFonts w:ascii="Arial" w:hAnsi="Arial"/>
          <w:color w:val="000000"/>
        </w:rPr>
        <w:t>It applies to participating young people, accompanying staff and provider personnel. Provider risk assessments and instructions support but do not replace ReConnect's assessment of travel, supervision, medical and individual needs.</w:t>
      </w:r>
    </w:p>
    <w:p>
      <w:pPr>
        <w:pStyle w:val="Heading1"/>
        <w:keepNext/>
      </w:pPr>
      <w:r>
        <w:t>Persons at Risk</w:t>
      </w:r>
    </w:p>
    <w:p>
      <w:pPr>
        <w:pStyle w:val="ListBullet"/>
        <w:keepLines/>
        <w:spacing w:after="60" w:line="264" w:lineRule="auto"/>
      </w:pPr>
      <w:r>
        <w:t>Young people participating or observing</w:t>
      </w:r>
    </w:p>
    <w:p>
      <w:pPr>
        <w:pStyle w:val="ListBullet"/>
        <w:keepLines/>
        <w:spacing w:after="60" w:line="264" w:lineRule="auto"/>
      </w:pPr>
      <w:r>
        <w:t>ReConnect staff and accompanying adults</w:t>
      </w:r>
    </w:p>
    <w:p>
      <w:pPr>
        <w:pStyle w:val="ListBullet"/>
        <w:keepLines/>
        <w:spacing w:after="60" w:line="264" w:lineRule="auto"/>
      </w:pPr>
      <w:r>
        <w:t>Provider staff and other site users</w:t>
      </w:r>
    </w:p>
    <w:p>
      <w:pPr>
        <w:pStyle w:val="Heading1"/>
        <w:keepNext/>
      </w:pPr>
      <w:r>
        <w:t>Risk Rating</w:t>
      </w:r>
    </w:p>
    <w:p>
      <w:r>
        <w:rPr>
          <w:rFonts w:ascii="Arial" w:hAnsi="Arial"/>
          <w:color w:val="000000"/>
        </w:rPr>
        <w:t>Residual ratings show the level of risk remaining when all controls are applied. Low: acceptable with controls maintained. Medium: activity may proceed only with active monitoring and any stated additional action. High: activity must not proceed until the risk is reduced and authorised.</w:t>
      </w:r>
    </w:p>
    <w:p>
      <w:pPr>
        <w:pStyle w:val="Heading1"/>
        <w:keepNext/>
        <w:pageBreakBefore/>
      </w:pPr>
      <w:r>
        <w:t>Risk Assessment</w:t>
      </w:r>
    </w:p>
    <w:tbl>
      <w:tblPr>
        <w:tblStyle w:val="TableGrid"/>
        <w:tblW w:type="dxa" w:w="9360"/>
        <w:jc w:val="left"/>
        <w:tblLayout w:type="fixed"/>
        <w:tblLook w:firstColumn="1" w:firstRow="1" w:lastColumn="0" w:lastRow="0" w:noHBand="0" w:noVBand="1" w:val="04A0"/>
        <w:tblInd w:w="100" w:type="dxa"/>
      </w:tblPr>
      <w:tblGrid>
        <w:gridCol w:w="2200"/>
        <w:gridCol w:w="1200"/>
        <w:gridCol w:w="4900"/>
        <w:gridCol w:w="1060"/>
      </w:tblGrid>
      <w:tr>
        <w:trPr>
          <w:tblHeader w:val="true"/>
          <w:cantSplit/>
        </w:trPr>
        <w:tc>
          <w:tcPr>
            <w:tcW w:type="dxa" w:w="2200"/>
            <w:tcMar>
              <w:top w:w="70" w:type="dxa"/>
              <w:start w:w="100" w:type="dxa"/>
              <w:bottom w:w="70" w:type="dxa"/>
              <w:end w:w="100" w:type="dxa"/>
            </w:tcMar>
            <w:vAlign w:val="top"/>
          </w:tcPr>
          <w:p>
            <w:pPr>
              <w:spacing w:after="20" w:line="240" w:lineRule="auto"/>
            </w:pPr>
            <w:r>
              <w:rPr>
                <w:rFonts w:ascii="Arial" w:hAnsi="Arial"/>
                <w:b/>
                <w:color w:val="000000"/>
                <w:sz w:val="16"/>
              </w:rPr>
              <w:t>Hazard and potential harm</w:t>
            </w:r>
          </w:p>
        </w:tc>
        <w:tc>
          <w:tcPr>
            <w:tcW w:type="dxa" w:w="1200"/>
            <w:tcMar>
              <w:top w:w="70" w:type="dxa"/>
              <w:start w:w="100" w:type="dxa"/>
              <w:bottom w:w="70" w:type="dxa"/>
              <w:end w:w="100" w:type="dxa"/>
            </w:tcMar>
            <w:vAlign w:val="top"/>
          </w:tcPr>
          <w:p>
            <w:pPr>
              <w:spacing w:after="20" w:line="240" w:lineRule="auto"/>
            </w:pPr>
            <w:r>
              <w:rPr>
                <w:rFonts w:ascii="Arial" w:hAnsi="Arial"/>
                <w:b/>
                <w:color w:val="000000"/>
                <w:sz w:val="16"/>
              </w:rPr>
              <w:t>Who may be harmed</w:t>
            </w:r>
          </w:p>
        </w:tc>
        <w:tc>
          <w:tcPr>
            <w:tcW w:type="dxa" w:w="4900"/>
            <w:tcMar>
              <w:top w:w="70" w:type="dxa"/>
              <w:start w:w="100" w:type="dxa"/>
              <w:bottom w:w="70" w:type="dxa"/>
              <w:end w:w="100" w:type="dxa"/>
            </w:tcMar>
            <w:vAlign w:val="top"/>
          </w:tcPr>
          <w:p>
            <w:pPr>
              <w:spacing w:after="20" w:line="240" w:lineRule="auto"/>
            </w:pPr>
            <w:r>
              <w:rPr>
                <w:rFonts w:ascii="Arial" w:hAnsi="Arial"/>
                <w:b/>
                <w:color w:val="000000"/>
                <w:sz w:val="16"/>
              </w:rPr>
              <w:t>Control measures and further action</w:t>
            </w:r>
          </w:p>
        </w:tc>
        <w:tc>
          <w:tcPr>
            <w:tcW w:type="dxa" w:w="1060"/>
            <w:tcMar>
              <w:top w:w="70" w:type="dxa"/>
              <w:start w:w="100" w:type="dxa"/>
              <w:bottom w:w="70" w:type="dxa"/>
              <w:end w:w="100" w:type="dxa"/>
            </w:tcMar>
            <w:vAlign w:val="top"/>
          </w:tcPr>
          <w:p>
            <w:pPr>
              <w:spacing w:after="20" w:line="240" w:lineRule="auto"/>
            </w:pPr>
            <w:r>
              <w:rPr>
                <w:rFonts w:ascii="Arial" w:hAnsi="Arial"/>
                <w:b/>
                <w:color w:val="000000"/>
                <w:sz w:val="16"/>
              </w:rPr>
              <w:t>Residual risk</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Kart collision or loss of control</w:t>
              <w:br/>
              <w:t>Bruising, fractures, whiplash or head injury</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Participants</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Approved track and provider only. Provider maintenance and operating controls confirmed. Mandatory safety briefing, speed and flag rules followed. Helmets, restraints and other required PPE fitted correctly. Participants placed in a suitable session for age, size and competence. Marshals supervise and may stop reckless driving. Further action: Visit Lead confirms participants understand the stop procedure.</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M</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Wet, slippery or unsuitable track</w:t>
              <w:br/>
              <w:t>Skid, collision or sudden stop</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Participants</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Provider assesses track and weather conditions. Session postponed, slowed or cancelled when conditions are unsafe. Participants follow marshal instructions and do not enter restricted areas. Suitable clothing and footwear worn.</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M</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Mechanical or equipment failure</w:t>
              <w:br/>
              <w:t>Impact, entrapment or burns</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Participants; provider staff</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Provider confirms inspection and maintenance regime. Karts and PPE checked before use. Faults reported immediately and equipment isolated. Participants do not adjust, refuel or repair karts. Hair, jewellery and loose clothing secured as instructed.</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L-M</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Pit lane, track access and moving vehicles</w:t>
              <w:br/>
              <w:t>Collision or crush injury</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All</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Use designated pedestrian routes and waiting areas. Enter track or pit lane only when directed. Staff actively supervise transitions and account for the group. No running or distraction near moving vehicles.</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M</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Unsafe behaviour or dysregulation</w:t>
              <w:br/>
              <w:t>Risk-taking, conflict or emotional distress</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Young people; others</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Individual behaviour and regulation needs reviewed before booking. Clear accessible briefing and consequences. Familiar staff provide low-arousal support. Participant withdrawn if unable to follow safety rules. Quiet recovery area and early-return plan agreed. Provider informed only of necessary support information.</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M</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Medical needs or physical suitability</w:t>
              <w:br/>
              <w:t>Asthma, seizure, pain, panic or aggravated condition</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Participants</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Provider restrictions checked and current medical information reviewed. Participation adapted or excluded only where necessary for safety. Rescue medication accessible. Staff monitor for distress, dizziness or injury and stop activity immediately. First aid and emergency access confirmed.</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M</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Slips, trips and falls</w:t>
              <w:br/>
              <w:t>Sprains, fractures or cuts</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All</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Use marked routes; keep waiting areas clear. Weather and surface condition monitored. Suitable footwear required. Follow barriers and provider instructions. Report spillages or defects immediately.</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L</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Optional off-road or projectile activity</w:t>
              <w:br/>
              <w:t>Falls, impact, eye injury or serious trauma</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Participants</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Activity proceeds only with separate approval and provider controls. Required PPE, instruction, competent supervision, boundaries and age or size restrictions followed. No participation outside booked activity. ReConnect staff supervise welfare and stop unsafe participation.</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M</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Travel to and from venue</w:t>
              <w:br/>
              <w:t>Road collision, delay or separation</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Young people; staff; public</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Off-Site Visits and Transportation Policies followed. Approved driver, insured roadworthy vehicle, restraints, route, attendance and emergency arrangements confirmed. Young people supervised during arrival, parking and collection.</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L-M</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Fire or major site emergency</w:t>
              <w:br/>
              <w:t>Burns, smoke exposure or separation</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All</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Provider emergency and evacuation arrangements confirmed. Group briefed on exits and assembly arrangements. Staff carry participant list and account for young people. Follow provider and emergency-service directions.</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L-M</w:t>
            </w:r>
          </w:p>
        </w:tc>
      </w:tr>
    </w:tbl>
    <w:p>
      <w:pPr>
        <w:pStyle w:val="Heading1"/>
        <w:keepNext/>
      </w:pPr>
      <w:r>
        <w:t>Emergency and Incident Arrangements</w:t>
      </w:r>
    </w:p>
    <w:p>
      <w:pPr>
        <w:pStyle w:val="ListBullet"/>
        <w:keepLines/>
        <w:spacing w:after="60" w:line="264" w:lineRule="auto"/>
      </w:pPr>
      <w:r>
        <w:t>Protect life, stop the activity and provide first aid within competence.</w:t>
      </w:r>
    </w:p>
    <w:p>
      <w:pPr>
        <w:pStyle w:val="ListBullet"/>
        <w:keepLines/>
        <w:spacing w:after="60" w:line="264" w:lineRule="auto"/>
      </w:pPr>
      <w:r>
        <w:t>Call 999 without delay for a serious or life-threatening emergency.</w:t>
      </w:r>
    </w:p>
    <w:p>
      <w:pPr>
        <w:pStyle w:val="ListBullet"/>
        <w:keepLines/>
        <w:spacing w:after="60" w:line="264" w:lineRule="auto"/>
      </w:pPr>
      <w:r>
        <w:t>Account for all young people and maintain safe supervision.</w:t>
      </w:r>
    </w:p>
    <w:p>
      <w:pPr>
        <w:pStyle w:val="ListBullet"/>
        <w:keepLines/>
        <w:spacing w:after="60" w:line="264" w:lineRule="auto"/>
      </w:pPr>
      <w:r>
        <w:t>Notify the Head of Provision or ReConnect emergency contact as soon as practicable.</w:t>
      </w:r>
    </w:p>
    <w:p>
      <w:pPr>
        <w:pStyle w:val="ListBullet"/>
        <w:keepLines/>
        <w:spacing w:after="60" w:line="264" w:lineRule="auto"/>
      </w:pPr>
      <w:r>
        <w:t>Record accidents, incidents, near misses and safeguarding concerns under ReConnect procedures; consider RIDDOR where applicable.</w:t>
      </w:r>
    </w:p>
    <w:p>
      <w:r>
        <w:rPr>
          <w:rFonts w:ascii="Arial" w:hAnsi="Arial"/>
          <w:color w:val="000000"/>
        </w:rPr>
        <w:t>Any significant collision or head impact requires immediate provider response, ReConnect incident reporting and appropriate medical assessment. A young person must not resume activity if concussion is suspected.</w:t>
      </w:r>
    </w:p>
    <w:p>
      <w:pPr>
        <w:pStyle w:val="Heading1"/>
        <w:keepNext/>
      </w:pPr>
      <w:r>
        <w:t>Dynamic Assessment, Monitoring and Review</w:t>
      </w:r>
    </w:p>
    <w:p>
      <w:r>
        <w:rPr>
          <w:rFonts w:ascii="Arial" w:hAnsi="Arial"/>
          <w:color w:val="000000"/>
        </w:rPr>
        <w:t>The lead member of staff will dynamically assess conditions, participant presentation, staffing, equipment and environmental change throughout the activity. Staff have authority to pause, modify or stop the activity immediately if controls are not effective or risk increases.</w:t>
      </w:r>
    </w:p>
    <w:p>
      <w:r>
        <w:rPr>
          <w:rFonts w:ascii="Arial" w:hAnsi="Arial"/>
          <w:color w:val="000000"/>
        </w:rPr>
        <w:t>This assessment will be reviewed at least annually and sooner following a significant incident, near miss, change in activity, equipment, venue, participant needs, staffing, law or guidance. Relevant learning will be recorded and controls updated.</w:t>
      </w:r>
    </w:p>
    <w:sectPr w:rsidR="00FC693F" w:rsidRPr="0006063C" w:rsidSect="00034616">
      <w:headerReference w:type="default" r:id="rId9"/>
      <w:footerReference w:type="default" r:id="rId10"/>
      <w:pgSz w:w="11909" w:h="16834"/>
      <w:pgMar w:top="691" w:right="576" w:bottom="691" w:left="576" w:header="288"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8"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00" w:line="240" w:lineRule="auto"/>
      <w:outlineLvl w:val="0"/>
    </w:pPr>
    <w:rPr>
      <w:rFonts w:asciiTheme="majorHAnsi" w:eastAsiaTheme="majorEastAsia" w:hAnsiTheme="majorHAnsi" w:cstheme="majorBidi" w:ascii="Arial" w:hAnsi="Arial"/>
      <w:b/>
      <w:bCs/>
      <w:color w:val="000000"/>
      <w:sz w:val="23"/>
      <w:szCs w:val="28"/>
    </w:rPr>
  </w:style>
  <w:style w:type="paragraph" w:styleId="Heading2">
    <w:name w:val="heading 2"/>
    <w:basedOn w:val="Normal"/>
    <w:next w:val="Normal"/>
    <w:link w:val="Heading2Char"/>
    <w:uiPriority w:val="9"/>
    <w:unhideWhenUsed/>
    <w:qFormat/>
    <w:rsid w:val="00FC693F"/>
    <w:pPr>
      <w:keepNext/>
      <w:keepLines/>
      <w:spacing w:before="200" w:after="60" w:line="240" w:lineRule="auto"/>
      <w:outlineLvl w:val="1"/>
    </w:pPr>
    <w:rPr>
      <w:rFonts w:asciiTheme="majorHAnsi" w:eastAsiaTheme="majorEastAsia" w:hAnsiTheme="majorHAnsi" w:cstheme="majorBidi" w:ascii="Arial" w:hAnsi="Arial"/>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olor w:val="000000"/>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ReConnect Programme - Go-Karting Risk Assessment</dc:title>
  <dc:subject/>
  <dc:creator>The ReConnect Programme</dc:creator>
  <cp:keywords/>
  <dc:description>generated by python-docx</dc:description>
  <cp:lastModifiedBy/>
  <cp:revision>1</cp:revision>
  <dcterms:created xsi:type="dcterms:W3CDTF">2013-12-23T23:15:00Z</dcterms:created>
  <dcterms:modified xsi:type="dcterms:W3CDTF">2013-12-23T23:15:00Z</dcterms:modified>
  <cp:category/>
</cp:coreProperties>
</file>